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47" w:rsidRPr="006B6A92" w:rsidRDefault="006B6A92" w:rsidP="006B6A92">
      <w:pPr>
        <w:widowControl/>
        <w:spacing w:line="560" w:lineRule="exact"/>
        <w:jc w:val="center"/>
        <w:rPr>
          <w:rFonts w:ascii="Arial" w:eastAsia="新細明體" w:hAnsi="Arial" w:cs="Arial"/>
          <w:b/>
          <w:kern w:val="0"/>
          <w:sz w:val="28"/>
          <w:szCs w:val="28"/>
        </w:rPr>
      </w:pPr>
      <w:r w:rsidRPr="006B6A92">
        <w:rPr>
          <w:rFonts w:ascii="Arial" w:eastAsia="新細明體" w:hAnsi="Arial" w:cs="Arial" w:hint="eastAsia"/>
          <w:b/>
          <w:kern w:val="0"/>
          <w:sz w:val="28"/>
          <w:szCs w:val="28"/>
        </w:rPr>
        <w:t>守護</w:t>
      </w:r>
      <w:r w:rsidRPr="00527347">
        <w:rPr>
          <w:rFonts w:ascii="Arial" w:eastAsia="新細明體" w:hAnsi="Arial" w:cs="Arial"/>
          <w:b/>
          <w:kern w:val="0"/>
          <w:sz w:val="28"/>
          <w:szCs w:val="28"/>
        </w:rPr>
        <w:t>校</w:t>
      </w:r>
      <w:r w:rsidRPr="006B6A92">
        <w:rPr>
          <w:rFonts w:ascii="Arial" w:eastAsia="新細明體" w:hAnsi="Arial" w:cs="Arial" w:hint="eastAsia"/>
          <w:b/>
          <w:kern w:val="0"/>
          <w:sz w:val="28"/>
          <w:szCs w:val="28"/>
        </w:rPr>
        <w:t>園老</w:t>
      </w:r>
      <w:r w:rsidRPr="006B6A92">
        <w:rPr>
          <w:rFonts w:ascii="Arial" w:eastAsia="新細明體" w:hAnsi="Arial" w:cs="Arial"/>
          <w:b/>
          <w:kern w:val="0"/>
          <w:sz w:val="28"/>
          <w:szCs w:val="28"/>
        </w:rPr>
        <w:t>樹</w:t>
      </w:r>
      <w:r w:rsidRPr="006B6A92">
        <w:rPr>
          <w:rFonts w:ascii="Arial" w:eastAsia="新細明體" w:hAnsi="Arial" w:cs="Arial" w:hint="eastAsia"/>
          <w:b/>
          <w:kern w:val="0"/>
          <w:sz w:val="28"/>
          <w:szCs w:val="28"/>
        </w:rPr>
        <w:t>活動</w:t>
      </w:r>
    </w:p>
    <w:p w:rsidR="00527347" w:rsidRPr="00527347" w:rsidRDefault="00527347" w:rsidP="00527347">
      <w:pPr>
        <w:widowControl/>
        <w:spacing w:line="560" w:lineRule="exact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kern w:val="0"/>
          <w:sz w:val="28"/>
          <w:szCs w:val="28"/>
        </w:rPr>
        <w:t>屏東地區日照充足、雨量集中，校園老樹常因校舍改建、跑道翻修或盲目填土，導致根部嚴重缺氧、感染</w:t>
      </w:r>
      <w:proofErr w:type="gramStart"/>
      <w:r w:rsidRPr="00527347">
        <w:rPr>
          <w:rFonts w:ascii="Arial" w:eastAsia="新細明體" w:hAnsi="Arial" w:cs="Arial"/>
          <w:kern w:val="0"/>
          <w:sz w:val="28"/>
          <w:szCs w:val="28"/>
        </w:rPr>
        <w:t>褐根病</w:t>
      </w:r>
      <w:proofErr w:type="gramEnd"/>
      <w:r w:rsidRPr="00527347">
        <w:rPr>
          <w:rFonts w:ascii="Arial" w:eastAsia="新細明體" w:hAnsi="Arial" w:cs="Arial"/>
          <w:kern w:val="0"/>
          <w:sz w:val="28"/>
          <w:szCs w:val="28"/>
        </w:rPr>
        <w:t>或逐漸枯萎。老樹是校園的活歷史與共同記憶。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br/>
      </w:r>
      <w:r w:rsidRPr="006B6A92">
        <w:rPr>
          <w:rFonts w:ascii="Arial" w:eastAsia="新細明體" w:hAnsi="Arial" w:cs="Arial"/>
          <w:kern w:val="0"/>
          <w:sz w:val="28"/>
          <w:szCs w:val="28"/>
          <w:u w:val="single"/>
        </w:rPr>
        <w:t>本</w:t>
      </w:r>
      <w:r w:rsidRPr="006B6A92">
        <w:rPr>
          <w:rFonts w:ascii="Arial" w:eastAsia="新細明體" w:hAnsi="Arial" w:cs="Arial" w:hint="eastAsia"/>
          <w:kern w:val="0"/>
          <w:sz w:val="28"/>
          <w:szCs w:val="28"/>
          <w:u w:val="single"/>
        </w:rPr>
        <w:t>活動</w:t>
      </w:r>
      <w:r w:rsidRPr="00527347">
        <w:rPr>
          <w:rFonts w:ascii="Arial" w:eastAsia="新細明體" w:hAnsi="Arial" w:cs="Arial"/>
          <w:kern w:val="0"/>
          <w:sz w:val="28"/>
          <w:szCs w:val="28"/>
          <w:u w:val="single"/>
        </w:rPr>
        <w:t>旨在透過</w:t>
      </w:r>
      <w:r w:rsidRPr="006B6A92">
        <w:rPr>
          <w:rFonts w:ascii="Arial" w:eastAsia="新細明體" w:hAnsi="Arial" w:cs="Arial" w:hint="eastAsia"/>
          <w:b/>
          <w:bCs/>
          <w:kern w:val="0"/>
          <w:sz w:val="28"/>
          <w:szCs w:val="28"/>
          <w:u w:val="single"/>
        </w:rPr>
        <w:t>屏東東區扶輪社</w:t>
      </w:r>
      <w:r w:rsidRPr="006B6A92">
        <w:rPr>
          <w:rFonts w:ascii="Arial" w:eastAsia="新細明體" w:hAnsi="Arial" w:cs="Arial" w:hint="eastAsia"/>
          <w:kern w:val="0"/>
          <w:sz w:val="28"/>
          <w:szCs w:val="28"/>
          <w:u w:val="single"/>
        </w:rPr>
        <w:t>協助守護</w:t>
      </w:r>
      <w:r w:rsidRPr="00527347">
        <w:rPr>
          <w:rFonts w:ascii="Arial" w:eastAsia="新細明體" w:hAnsi="Arial" w:cs="Arial"/>
          <w:kern w:val="0"/>
          <w:sz w:val="28"/>
          <w:szCs w:val="28"/>
          <w:u w:val="single"/>
        </w:rPr>
        <w:t>校</w:t>
      </w:r>
      <w:r w:rsidRPr="006B6A92">
        <w:rPr>
          <w:rFonts w:ascii="Arial" w:eastAsia="新細明體" w:hAnsi="Arial" w:cs="Arial" w:hint="eastAsia"/>
          <w:kern w:val="0"/>
          <w:sz w:val="28"/>
          <w:szCs w:val="28"/>
          <w:u w:val="single"/>
        </w:rPr>
        <w:t>園老</w:t>
      </w:r>
      <w:r w:rsidRPr="006B6A92">
        <w:rPr>
          <w:rFonts w:ascii="Arial" w:eastAsia="新細明體" w:hAnsi="Arial" w:cs="Arial"/>
          <w:kern w:val="0"/>
          <w:sz w:val="28"/>
          <w:szCs w:val="28"/>
          <w:u w:val="single"/>
        </w:rPr>
        <w:t>樹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，並透過</w:t>
      </w:r>
      <w:r w:rsidRPr="00527347">
        <w:rPr>
          <w:rFonts w:ascii="Arial" w:eastAsia="新細明體" w:hAnsi="Arial" w:cs="Arial" w:hint="eastAsia"/>
          <w:kern w:val="0"/>
          <w:sz w:val="28"/>
          <w:szCs w:val="28"/>
        </w:rPr>
        <w:t>本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活動轉化為最紮實的生命與環境教育課程，讓生態保育扎根校園。</w:t>
      </w:r>
      <w:bookmarkStart w:id="0" w:name="_GoBack"/>
      <w:bookmarkEnd w:id="0"/>
    </w:p>
    <w:p w:rsidR="00527347" w:rsidRPr="00527347" w:rsidRDefault="00527347" w:rsidP="00527347">
      <w:pPr>
        <w:widowControl/>
        <w:spacing w:line="560" w:lineRule="exact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二、</w:t>
      </w: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 xml:space="preserve"> </w:t>
      </w: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活動目標</w:t>
      </w:r>
    </w:p>
    <w:p w:rsidR="00527347" w:rsidRPr="00527347" w:rsidRDefault="00527347" w:rsidP="00527347">
      <w:pPr>
        <w:widowControl/>
        <w:numPr>
          <w:ilvl w:val="0"/>
          <w:numId w:val="1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proofErr w:type="gramStart"/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校樹實質</w:t>
      </w:r>
      <w:proofErr w:type="gramEnd"/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救治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：改善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 xml:space="preserve"> 1-2 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株目標老樹的棲地（如排水、通氣性），</w:t>
      </w:r>
      <w:proofErr w:type="gramStart"/>
      <w:r w:rsidRPr="00527347">
        <w:rPr>
          <w:rFonts w:ascii="Arial" w:eastAsia="新細明體" w:hAnsi="Arial" w:cs="Arial"/>
          <w:kern w:val="0"/>
          <w:sz w:val="28"/>
          <w:szCs w:val="28"/>
        </w:rPr>
        <w:t>重啟老樹</w:t>
      </w:r>
      <w:proofErr w:type="gramEnd"/>
      <w:r w:rsidRPr="00527347">
        <w:rPr>
          <w:rFonts w:ascii="Arial" w:eastAsia="新細明體" w:hAnsi="Arial" w:cs="Arial"/>
          <w:kern w:val="0"/>
          <w:sz w:val="28"/>
          <w:szCs w:val="28"/>
        </w:rPr>
        <w:t>生機。</w:t>
      </w:r>
    </w:p>
    <w:p w:rsidR="00527347" w:rsidRPr="00527347" w:rsidRDefault="00527347" w:rsidP="00527347">
      <w:pPr>
        <w:widowControl/>
        <w:numPr>
          <w:ilvl w:val="0"/>
          <w:numId w:val="1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環境教育推廣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：提升全校師生及社區居民對校園生態與樹木保育的觀念。</w:t>
      </w:r>
    </w:p>
    <w:p w:rsidR="00527347" w:rsidRPr="00527347" w:rsidRDefault="00527347" w:rsidP="00527347">
      <w:pPr>
        <w:widowControl/>
        <w:numPr>
          <w:ilvl w:val="0"/>
          <w:numId w:val="1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校園記憶傳承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：透過文史採集，凝聚校友與在校生對校園的情感。</w:t>
      </w:r>
    </w:p>
    <w:p w:rsidR="00527347" w:rsidRPr="00527347" w:rsidRDefault="00527347" w:rsidP="00527347">
      <w:pPr>
        <w:widowControl/>
        <w:spacing w:line="560" w:lineRule="exact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三、</w:t>
      </w: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 xml:space="preserve"> </w:t>
      </w: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主辦與指導單位</w:t>
      </w:r>
    </w:p>
    <w:p w:rsidR="00527347" w:rsidRPr="00527347" w:rsidRDefault="00527347" w:rsidP="00527347">
      <w:pPr>
        <w:widowControl/>
        <w:numPr>
          <w:ilvl w:val="0"/>
          <w:numId w:val="2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指導單位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：屏東縣政府教育處、屏東縣政府農業處</w:t>
      </w:r>
    </w:p>
    <w:p w:rsidR="00527347" w:rsidRPr="00527347" w:rsidRDefault="00527347" w:rsidP="00527347">
      <w:pPr>
        <w:widowControl/>
        <w:numPr>
          <w:ilvl w:val="0"/>
          <w:numId w:val="2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主辦單位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</w:t>
      </w:r>
      <w:r w:rsidRPr="00527347">
        <w:rPr>
          <w:sz w:val="28"/>
          <w:szCs w:val="28"/>
        </w:rPr>
        <w:t>屏東東區扶輪社</w:t>
      </w:r>
    </w:p>
    <w:p w:rsidR="00527347" w:rsidRPr="00527347" w:rsidRDefault="00527347" w:rsidP="00527347">
      <w:pPr>
        <w:widowControl/>
        <w:numPr>
          <w:ilvl w:val="0"/>
          <w:numId w:val="2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協辦單位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</w:t>
      </w:r>
      <w:r w:rsidRPr="00527347">
        <w:rPr>
          <w:rFonts w:ascii="Arial" w:eastAsia="新細明體" w:hAnsi="Arial" w:cs="Arial" w:hint="eastAsia"/>
          <w:kern w:val="0"/>
          <w:sz w:val="28"/>
          <w:szCs w:val="28"/>
        </w:rPr>
        <w:t>屏東縣家長會長協會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 xml:space="preserve"> </w:t>
      </w:r>
    </w:p>
    <w:p w:rsidR="00527347" w:rsidRPr="00527347" w:rsidRDefault="00527347" w:rsidP="00527347">
      <w:pPr>
        <w:pStyle w:val="a3"/>
        <w:widowControl/>
        <w:numPr>
          <w:ilvl w:val="1"/>
          <w:numId w:val="2"/>
        </w:numPr>
        <w:tabs>
          <w:tab w:val="left" w:pos="426"/>
        </w:tabs>
        <w:spacing w:line="560" w:lineRule="exact"/>
        <w:ind w:left="709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活動對象與地點</w:t>
      </w:r>
    </w:p>
    <w:p w:rsidR="00527347" w:rsidRDefault="00527347" w:rsidP="00527347">
      <w:pPr>
        <w:widowControl/>
        <w:numPr>
          <w:ilvl w:val="0"/>
          <w:numId w:val="3"/>
        </w:numPr>
        <w:spacing w:line="560" w:lineRule="exact"/>
        <w:ind w:left="-3"/>
        <w:rPr>
          <w:rFonts w:ascii="Arial" w:eastAsia="新細明體" w:hAnsi="Arial" w:cs="Arial"/>
          <w:kern w:val="0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活動地點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：屏東縣立</w:t>
      </w:r>
      <w:r w:rsidRPr="00527347">
        <w:rPr>
          <w:rFonts w:ascii="Arial" w:eastAsia="新細明體" w:hAnsi="Arial" w:cs="Arial" w:hint="eastAsia"/>
          <w:kern w:val="0"/>
          <w:sz w:val="28"/>
          <w:szCs w:val="28"/>
        </w:rPr>
        <w:t>國中小學校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校園內（指定受救援老樹周邊）</w:t>
      </w:r>
    </w:p>
    <w:p w:rsidR="00527347" w:rsidRPr="00527347" w:rsidRDefault="00527347" w:rsidP="00527347">
      <w:pPr>
        <w:widowControl/>
        <w:numPr>
          <w:ilvl w:val="0"/>
          <w:numId w:val="3"/>
        </w:numPr>
        <w:spacing w:line="560" w:lineRule="exact"/>
        <w:ind w:left="-3"/>
        <w:rPr>
          <w:rFonts w:hint="eastAsia"/>
          <w:sz w:val="28"/>
          <w:szCs w:val="28"/>
        </w:rPr>
      </w:pPr>
      <w:r w:rsidRPr="00527347">
        <w:rPr>
          <w:rFonts w:ascii="Arial" w:eastAsia="新細明體" w:hAnsi="Arial" w:cs="Arial"/>
          <w:b/>
          <w:bCs/>
          <w:kern w:val="0"/>
          <w:sz w:val="28"/>
          <w:szCs w:val="28"/>
        </w:rPr>
        <w:t>參與對象</w:t>
      </w:r>
      <w:r w:rsidRPr="00527347">
        <w:rPr>
          <w:rFonts w:ascii="Arial" w:eastAsia="新細明體" w:hAnsi="Arial" w:cs="Arial"/>
          <w:kern w:val="0"/>
          <w:sz w:val="28"/>
          <w:szCs w:val="28"/>
        </w:rPr>
        <w:t>：全校師生、家長、校及周邊社區居民</w:t>
      </w:r>
      <w:r w:rsidRPr="00527347">
        <w:rPr>
          <w:rFonts w:hint="eastAsia"/>
          <w:sz w:val="28"/>
          <w:szCs w:val="28"/>
        </w:rPr>
        <w:t>老樹救援</w:t>
      </w:r>
    </w:p>
    <w:p w:rsidR="00527347" w:rsidRPr="00527347" w:rsidRDefault="00527347" w:rsidP="00527347">
      <w:pPr>
        <w:spacing w:line="560" w:lineRule="exact"/>
        <w:rPr>
          <w:rFonts w:hint="eastAsia"/>
          <w:sz w:val="28"/>
          <w:szCs w:val="28"/>
        </w:rPr>
      </w:pPr>
      <w:r w:rsidRPr="00527347">
        <w:rPr>
          <w:rFonts w:hint="eastAsia"/>
          <w:sz w:val="28"/>
          <w:szCs w:val="28"/>
        </w:rPr>
        <w:t>主辦：屏東東區扶輪社</w:t>
      </w:r>
    </w:p>
    <w:p w:rsidR="00527347" w:rsidRPr="00527347" w:rsidRDefault="006B6A92" w:rsidP="00527347">
      <w:pPr>
        <w:spacing w:line="560" w:lineRule="exact"/>
        <w:rPr>
          <w:rFonts w:hint="eastAsia"/>
          <w:sz w:val="28"/>
          <w:szCs w:val="28"/>
        </w:rPr>
      </w:pPr>
      <w:r w:rsidRPr="0052734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4314508</wp:posOffset>
            </wp:positionH>
            <wp:positionV relativeFrom="paragraph">
              <wp:posOffset>74612</wp:posOffset>
            </wp:positionV>
            <wp:extent cx="871537" cy="871537"/>
            <wp:effectExtent l="0" t="0" r="5080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347" w:rsidRPr="00527347">
        <w:rPr>
          <w:rFonts w:hint="eastAsia"/>
          <w:sz w:val="28"/>
          <w:szCs w:val="28"/>
        </w:rPr>
        <w:t>協辦：屏東縣家長會長協會</w:t>
      </w:r>
    </w:p>
    <w:p w:rsidR="00A9628A" w:rsidRPr="00527347" w:rsidRDefault="00527347" w:rsidP="00527347">
      <w:pPr>
        <w:spacing w:line="560" w:lineRule="exact"/>
        <w:rPr>
          <w:sz w:val="28"/>
          <w:szCs w:val="28"/>
        </w:rPr>
      </w:pPr>
      <w:r w:rsidRPr="00527347">
        <w:rPr>
          <w:rFonts w:hint="eastAsia"/>
          <w:sz w:val="28"/>
          <w:szCs w:val="28"/>
        </w:rPr>
        <w:t>聯絡人：</w:t>
      </w:r>
      <w:r w:rsidR="006B6A92" w:rsidRPr="00527347">
        <w:rPr>
          <w:rFonts w:hint="eastAsia"/>
          <w:sz w:val="28"/>
          <w:szCs w:val="28"/>
        </w:rPr>
        <w:t>屏東東區扶輪社</w:t>
      </w:r>
      <w:r w:rsidR="006B6A92">
        <w:rPr>
          <w:rFonts w:hint="eastAsia"/>
          <w:sz w:val="28"/>
          <w:szCs w:val="28"/>
        </w:rPr>
        <w:t xml:space="preserve"> </w:t>
      </w:r>
      <w:r w:rsidRPr="00527347">
        <w:rPr>
          <w:rFonts w:hint="eastAsia"/>
          <w:sz w:val="28"/>
          <w:szCs w:val="28"/>
        </w:rPr>
        <w:t>副秘</w:t>
      </w:r>
      <w:r w:rsidRPr="00527347">
        <w:rPr>
          <w:rFonts w:hint="eastAsia"/>
          <w:sz w:val="28"/>
          <w:szCs w:val="28"/>
        </w:rPr>
        <w:t xml:space="preserve"> </w:t>
      </w:r>
      <w:r w:rsidRPr="00527347">
        <w:rPr>
          <w:rFonts w:hint="eastAsia"/>
          <w:sz w:val="28"/>
          <w:szCs w:val="28"/>
        </w:rPr>
        <w:t>李俊德</w:t>
      </w:r>
      <w:r w:rsidRPr="00527347">
        <w:rPr>
          <w:rFonts w:hint="eastAsia"/>
          <w:sz w:val="28"/>
          <w:szCs w:val="28"/>
        </w:rPr>
        <w:t xml:space="preserve">  0933285656</w:t>
      </w:r>
    </w:p>
    <w:sectPr w:rsidR="00A9628A" w:rsidRPr="00527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3A4"/>
    <w:multiLevelType w:val="multilevel"/>
    <w:tmpl w:val="13B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033E2"/>
    <w:multiLevelType w:val="multilevel"/>
    <w:tmpl w:val="3C38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F381E"/>
    <w:multiLevelType w:val="multilevel"/>
    <w:tmpl w:val="3C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82E71"/>
    <w:multiLevelType w:val="multilevel"/>
    <w:tmpl w:val="E3E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B3A76"/>
    <w:multiLevelType w:val="multilevel"/>
    <w:tmpl w:val="1814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90695"/>
    <w:multiLevelType w:val="multilevel"/>
    <w:tmpl w:val="7CF6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976A5"/>
    <w:multiLevelType w:val="multilevel"/>
    <w:tmpl w:val="B5F0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F2DE6"/>
    <w:multiLevelType w:val="multilevel"/>
    <w:tmpl w:val="FA9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47"/>
    <w:rsid w:val="00527347"/>
    <w:rsid w:val="006B6A92"/>
    <w:rsid w:val="00A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1E81"/>
  <w15:chartTrackingRefBased/>
  <w15:docId w15:val="{3B723BCE-A051-4A9C-97A1-D44E2DB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4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936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81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2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9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297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75922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7872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87361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22895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9641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5307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1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0" w:color="F0F2F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4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1935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95442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60059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2163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1272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4364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3118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2026-05-22T00:22:00Z</dcterms:created>
  <dcterms:modified xsi:type="dcterms:W3CDTF">2026-05-22T00:34:00Z</dcterms:modified>
</cp:coreProperties>
</file>