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318" w:rsidRDefault="00351318">
      <w:pPr>
        <w:spacing w:line="0" w:lineRule="atLeast"/>
        <w:ind w:left="8789" w:right="-1" w:hanging="8789"/>
        <w:jc w:val="center"/>
        <w:rPr>
          <w:rFonts w:eastAsia="標楷體"/>
          <w:b/>
          <w:color w:val="auto"/>
          <w:sz w:val="36"/>
          <w:szCs w:val="36"/>
          <w:shd w:val="clear" w:color="auto" w:fill="FFFFFF"/>
        </w:rPr>
      </w:pPr>
      <w:bookmarkStart w:id="0" w:name="_GoBack"/>
      <w:bookmarkEnd w:id="0"/>
    </w:p>
    <w:p w:rsidR="00351318" w:rsidRDefault="00AD6D16">
      <w:pPr>
        <w:spacing w:line="0" w:lineRule="atLeast"/>
        <w:ind w:left="8789" w:right="-1" w:hanging="8789"/>
        <w:jc w:val="center"/>
      </w:pPr>
      <w:r>
        <w:rPr>
          <w:rFonts w:eastAsia="標楷體"/>
          <w:b/>
          <w:noProof/>
          <w:color w:val="auto"/>
          <w:sz w:val="36"/>
          <w:szCs w:val="36"/>
          <w:shd w:val="clear" w:color="auto" w:fill="FFFFFF"/>
        </w:rPr>
        <w:drawing>
          <wp:anchor distT="0" distB="0" distL="114300" distR="114300" simplePos="0" relativeHeight="251658240" behindDoc="0" locked="0" layoutInCell="1" allowOverlap="1">
            <wp:simplePos x="0" y="0"/>
            <wp:positionH relativeFrom="margin">
              <wp:posOffset>5240635</wp:posOffset>
            </wp:positionH>
            <wp:positionV relativeFrom="paragraph">
              <wp:posOffset>8237</wp:posOffset>
            </wp:positionV>
            <wp:extent cx="1094107" cy="1094107"/>
            <wp:effectExtent l="0" t="0" r="10793" b="10793"/>
            <wp:wrapTight wrapText="bothSides">
              <wp:wrapPolygon edited="0">
                <wp:start x="21600" y="21600"/>
                <wp:lineTo x="21600" y="163"/>
                <wp:lineTo x="163" y="163"/>
                <wp:lineTo x="163" y="21600"/>
                <wp:lineTo x="21600" y="21600"/>
              </wp:wrapPolygon>
            </wp:wrapTight>
            <wp:docPr id="4"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rot="10799991" flipV="1">
                      <a:off x="0" y="0"/>
                      <a:ext cx="1094107" cy="1094107"/>
                    </a:xfrm>
                    <a:prstGeom prst="rect">
                      <a:avLst/>
                    </a:prstGeom>
                    <a:noFill/>
                    <a:ln>
                      <a:noFill/>
                      <a:prstDash/>
                    </a:ln>
                  </pic:spPr>
                </pic:pic>
              </a:graphicData>
            </a:graphic>
          </wp:anchor>
        </w:drawing>
      </w:r>
      <w:r>
        <w:rPr>
          <w:rFonts w:eastAsia="標楷體"/>
          <w:b/>
          <w:color w:val="auto"/>
          <w:sz w:val="36"/>
          <w:szCs w:val="36"/>
          <w:shd w:val="clear" w:color="auto" w:fill="FFFFFF"/>
        </w:rPr>
        <w:t>精緻</w:t>
      </w:r>
      <w:r>
        <w:rPr>
          <w:rFonts w:eastAsia="標楷體"/>
          <w:b/>
          <w:color w:val="auto"/>
          <w:sz w:val="36"/>
          <w:szCs w:val="36"/>
          <w:shd w:val="clear" w:color="auto" w:fill="FFFFFF"/>
        </w:rPr>
        <w:t>Moocs</w:t>
      </w:r>
      <w:r>
        <w:rPr>
          <w:rFonts w:eastAsia="標楷體"/>
          <w:b/>
          <w:color w:val="auto"/>
          <w:sz w:val="36"/>
          <w:szCs w:val="36"/>
          <w:shd w:val="clear" w:color="auto" w:fill="FFFFFF"/>
        </w:rPr>
        <w:t>系列課程招生簡章</w:t>
      </w:r>
    </w:p>
    <w:p w:rsidR="00351318" w:rsidRDefault="00AD6D16">
      <w:pPr>
        <w:spacing w:line="0" w:lineRule="atLeast"/>
        <w:ind w:left="958" w:hanging="958"/>
        <w:jc w:val="center"/>
        <w:rPr>
          <w:rFonts w:eastAsia="標楷體"/>
          <w:b/>
          <w:color w:val="auto"/>
          <w:sz w:val="36"/>
          <w:szCs w:val="36"/>
          <w:shd w:val="clear" w:color="auto" w:fill="FFFFFF"/>
        </w:rPr>
      </w:pPr>
      <w:r>
        <w:rPr>
          <w:rFonts w:eastAsia="標楷體"/>
          <w:b/>
          <w:color w:val="auto"/>
          <w:sz w:val="36"/>
          <w:szCs w:val="36"/>
          <w:shd w:val="clear" w:color="auto" w:fill="FFFFFF"/>
        </w:rPr>
        <w:t xml:space="preserve">      </w:t>
      </w:r>
      <w:r>
        <w:rPr>
          <w:rFonts w:eastAsia="標楷體"/>
          <w:b/>
          <w:color w:val="auto"/>
          <w:sz w:val="36"/>
          <w:szCs w:val="36"/>
          <w:shd w:val="clear" w:color="auto" w:fill="FFFFFF"/>
        </w:rPr>
        <w:t>學習診斷與輔導</w:t>
      </w:r>
      <w:r>
        <w:rPr>
          <w:rFonts w:eastAsia="標楷體"/>
          <w:b/>
          <w:color w:val="auto"/>
          <w:sz w:val="36"/>
          <w:szCs w:val="36"/>
          <w:shd w:val="clear" w:color="auto" w:fill="FFFFFF"/>
        </w:rPr>
        <w:t xml:space="preserve">  </w:t>
      </w:r>
    </w:p>
    <w:p w:rsidR="00351318" w:rsidRDefault="00AD6D16">
      <w:pPr>
        <w:spacing w:before="180" w:line="0" w:lineRule="atLeast"/>
        <w:ind w:left="709"/>
      </w:pPr>
      <w:r>
        <w:rPr>
          <w:rFonts w:ascii="標楷體" w:eastAsia="標楷體" w:hAnsi="標楷體" w:cs="Segoe UI Symbol"/>
          <w:sz w:val="24"/>
          <w:szCs w:val="24"/>
        </w:rPr>
        <w:t>本課程將介紹學習診斷基礎理論和實務案例，運用理論結合生活化的例子講述學理概念與</w:t>
      </w:r>
      <w:r>
        <w:rPr>
          <w:rFonts w:ascii="標楷體" w:eastAsia="標楷體" w:hAnsi="標楷體" w:cs="Segoe UI Symbol"/>
          <w:sz w:val="24"/>
          <w:szCs w:val="24"/>
        </w:rPr>
        <w:t xml:space="preserve"> </w:t>
      </w:r>
      <w:r>
        <w:rPr>
          <w:rFonts w:ascii="標楷體" w:eastAsia="標楷體" w:hAnsi="標楷體" w:cs="Segoe UI Symbol"/>
          <w:sz w:val="24"/>
          <w:szCs w:val="24"/>
        </w:rPr>
        <w:t>案例的實做演練，讓教導者深入了解補救教學與輔導的實際做法。期能協助學校教師和不同場域的教育工作者經由基礎理論和教育實務案例分享，增進學習診斷評估與補救教學的能力，幫助學習者找出學習困難之處，有效引領學生學習。</w:t>
      </w:r>
    </w:p>
    <w:p w:rsidR="00351318" w:rsidRDefault="00AD6D16">
      <w:pPr>
        <w:spacing w:before="180" w:line="0" w:lineRule="atLeast"/>
        <w:ind w:left="1922" w:hanging="1216"/>
      </w:pPr>
      <w:r>
        <w:rPr>
          <w:rFonts w:ascii="Times New Roman" w:eastAsia="標楷體" w:hAnsi="Times New Roman" w:cs="Times New Roman"/>
          <w:b/>
          <w:color w:val="auto"/>
          <w:sz w:val="24"/>
          <w:szCs w:val="24"/>
          <w:shd w:val="clear" w:color="auto" w:fill="FFFFFF"/>
        </w:rPr>
        <w:t>課程特色：</w:t>
      </w:r>
      <w:r>
        <w:rPr>
          <w:rFonts w:ascii="Times New Roman" w:eastAsia="標楷體" w:hAnsi="Times New Roman" w:cs="Times New Roman"/>
          <w:color w:val="auto"/>
          <w:sz w:val="24"/>
          <w:szCs w:val="24"/>
          <w:shd w:val="clear" w:color="auto" w:fill="FFFFFF"/>
        </w:rPr>
        <w:t>由本教務處數位學習組、進修學院專業規劃線上數位學習課程，培訓學員「輔導諮商實務應用知能」；學員依規定完成所有線上課程後，將頒發國立彰化師範大學「輔導諮商精製</w:t>
      </w:r>
      <w:r>
        <w:rPr>
          <w:rFonts w:ascii="Times New Roman" w:eastAsia="標楷體" w:hAnsi="Times New Roman" w:cs="Times New Roman"/>
          <w:color w:val="auto"/>
          <w:sz w:val="24"/>
          <w:szCs w:val="24"/>
          <w:shd w:val="clear" w:color="auto" w:fill="FFFFFF"/>
        </w:rPr>
        <w:t>Moocs</w:t>
      </w:r>
      <w:r>
        <w:rPr>
          <w:rFonts w:ascii="Times New Roman" w:eastAsia="標楷體" w:hAnsi="Times New Roman" w:cs="Times New Roman"/>
          <w:color w:val="auto"/>
          <w:sz w:val="24"/>
          <w:szCs w:val="24"/>
          <w:shd w:val="clear" w:color="auto" w:fill="FFFFFF"/>
        </w:rPr>
        <w:t>系列課程</w:t>
      </w:r>
      <w:r>
        <w:rPr>
          <w:rFonts w:ascii="Times New Roman" w:eastAsia="標楷體" w:hAnsi="Times New Roman" w:cs="Times New Roman"/>
          <w:color w:val="auto"/>
          <w:sz w:val="24"/>
          <w:szCs w:val="24"/>
          <w:shd w:val="clear" w:color="auto" w:fill="FFFFFF"/>
        </w:rPr>
        <w:t>-(</w:t>
      </w:r>
      <w:r>
        <w:rPr>
          <w:rFonts w:ascii="Times New Roman" w:eastAsia="標楷體" w:hAnsi="Times New Roman" w:cs="Times New Roman"/>
          <w:color w:val="auto"/>
          <w:sz w:val="24"/>
          <w:szCs w:val="24"/>
          <w:shd w:val="clear" w:color="auto" w:fill="FFFFFF"/>
        </w:rPr>
        <w:t>學習診斷與輔導</w:t>
      </w:r>
      <w:r>
        <w:rPr>
          <w:rFonts w:ascii="Times New Roman" w:eastAsia="標楷體" w:hAnsi="Times New Roman" w:cs="Times New Roman"/>
          <w:color w:val="auto"/>
          <w:sz w:val="24"/>
          <w:szCs w:val="24"/>
          <w:shd w:val="clear" w:color="auto" w:fill="FFFFFF"/>
        </w:rPr>
        <w:t>)</w:t>
      </w:r>
      <w:r>
        <w:rPr>
          <w:rFonts w:ascii="Times New Roman" w:eastAsia="標楷體" w:hAnsi="Times New Roman" w:cs="Times New Roman"/>
          <w:color w:val="auto"/>
          <w:sz w:val="24"/>
          <w:szCs w:val="24"/>
          <w:shd w:val="clear" w:color="auto" w:fill="FFFFFF"/>
        </w:rPr>
        <w:t>研習證書」。</w:t>
      </w:r>
    </w:p>
    <w:p w:rsidR="00351318" w:rsidRDefault="00AD6D16">
      <w:pPr>
        <w:spacing w:before="180" w:line="0" w:lineRule="atLeast"/>
        <w:ind w:left="1922" w:hanging="1216"/>
      </w:pPr>
      <w:r>
        <w:rPr>
          <w:rFonts w:ascii="Times New Roman" w:eastAsia="標楷體" w:hAnsi="Times New Roman" w:cs="Times New Roman"/>
          <w:b/>
          <w:color w:val="auto"/>
          <w:sz w:val="24"/>
          <w:szCs w:val="24"/>
          <w:shd w:val="clear" w:color="auto" w:fill="FFFFFF"/>
        </w:rPr>
        <w:t>適合對象：</w:t>
      </w:r>
      <w:r>
        <w:rPr>
          <w:rFonts w:ascii="Times New Roman" w:eastAsia="標楷體" w:hAnsi="Times New Roman" w:cs="Times New Roman"/>
          <w:b/>
          <w:color w:val="auto"/>
          <w:sz w:val="24"/>
          <w:szCs w:val="24"/>
          <w:shd w:val="clear" w:color="auto" w:fill="FFFFFF"/>
        </w:rPr>
        <w:t xml:space="preserve"> </w:t>
      </w:r>
      <w:r>
        <w:rPr>
          <w:rFonts w:ascii="Times New Roman" w:eastAsia="標楷體" w:hAnsi="Times New Roman" w:cs="Times New Roman"/>
          <w:color w:val="auto"/>
          <w:sz w:val="24"/>
          <w:szCs w:val="24"/>
          <w:shd w:val="clear" w:color="auto" w:fill="FFFFFF"/>
        </w:rPr>
        <w:t>1.</w:t>
      </w:r>
      <w:r>
        <w:rPr>
          <w:rFonts w:ascii="Times New Roman" w:eastAsia="標楷體" w:hAnsi="Times New Roman" w:cs="Times New Roman"/>
          <w:color w:val="auto"/>
          <w:sz w:val="24"/>
          <w:szCs w:val="24"/>
          <w:shd w:val="clear" w:color="auto" w:fill="FFFFFF"/>
        </w:rPr>
        <w:t>對學習診斷與輔導課程有興趣者。</w:t>
      </w:r>
    </w:p>
    <w:p w:rsidR="00351318" w:rsidRDefault="00AD6D16">
      <w:pPr>
        <w:spacing w:line="0" w:lineRule="atLeast"/>
        <w:ind w:left="1984" w:firstLine="2"/>
        <w:rPr>
          <w:rFonts w:ascii="Times New Roman" w:eastAsia="標楷體" w:hAnsi="Times New Roman" w:cs="Times New Roman"/>
          <w:color w:val="auto"/>
          <w:sz w:val="24"/>
          <w:szCs w:val="24"/>
          <w:shd w:val="clear" w:color="auto" w:fill="FFFFFF"/>
        </w:rPr>
      </w:pPr>
      <w:r>
        <w:rPr>
          <w:rFonts w:ascii="Times New Roman" w:eastAsia="標楷體" w:hAnsi="Times New Roman" w:cs="Times New Roman"/>
          <w:color w:val="auto"/>
          <w:sz w:val="24"/>
          <w:szCs w:val="24"/>
          <w:shd w:val="clear" w:color="auto" w:fill="FFFFFF"/>
        </w:rPr>
        <w:t>2.</w:t>
      </w:r>
      <w:r>
        <w:rPr>
          <w:rFonts w:ascii="Times New Roman" w:eastAsia="標楷體" w:hAnsi="Times New Roman" w:cs="Times New Roman"/>
          <w:color w:val="auto"/>
          <w:sz w:val="24"/>
          <w:szCs w:val="24"/>
          <w:shd w:val="clear" w:color="auto" w:fill="FFFFFF"/>
        </w:rPr>
        <w:t>需要職場績效考核之職能佐證或提高職場競爭力者。</w:t>
      </w:r>
    </w:p>
    <w:p w:rsidR="00351318" w:rsidRDefault="00AD6D16">
      <w:pPr>
        <w:spacing w:line="0" w:lineRule="atLeast"/>
        <w:ind w:left="1984" w:firstLine="2"/>
        <w:rPr>
          <w:rFonts w:ascii="Times New Roman" w:eastAsia="標楷體" w:hAnsi="Times New Roman" w:cs="Times New Roman"/>
          <w:color w:val="auto"/>
          <w:sz w:val="24"/>
          <w:szCs w:val="24"/>
          <w:shd w:val="clear" w:color="auto" w:fill="FFFFFF"/>
        </w:rPr>
      </w:pPr>
      <w:r>
        <w:rPr>
          <w:rFonts w:ascii="Times New Roman" w:eastAsia="標楷體" w:hAnsi="Times New Roman" w:cs="Times New Roman"/>
          <w:color w:val="auto"/>
          <w:sz w:val="24"/>
          <w:szCs w:val="24"/>
          <w:shd w:val="clear" w:color="auto" w:fill="FFFFFF"/>
        </w:rPr>
        <w:t>3.</w:t>
      </w:r>
      <w:r>
        <w:rPr>
          <w:rFonts w:ascii="Times New Roman" w:eastAsia="標楷體" w:hAnsi="Times New Roman" w:cs="Times New Roman"/>
          <w:color w:val="auto"/>
          <w:sz w:val="24"/>
          <w:szCs w:val="24"/>
          <w:shd w:val="clear" w:color="auto" w:fill="FFFFFF"/>
        </w:rPr>
        <w:t>適合學習診斷與輔導課程第一線接觸輔導諮商工作者。</w:t>
      </w:r>
    </w:p>
    <w:p w:rsidR="00351318" w:rsidRDefault="00AD6D16">
      <w:pPr>
        <w:spacing w:before="180" w:line="0" w:lineRule="atLeast"/>
        <w:ind w:left="708" w:firstLine="2"/>
      </w:pPr>
      <w:r>
        <w:rPr>
          <w:rFonts w:ascii="Times New Roman" w:eastAsia="標楷體" w:hAnsi="Times New Roman" w:cs="Times New Roman"/>
          <w:b/>
          <w:color w:val="auto"/>
          <w:sz w:val="24"/>
          <w:szCs w:val="24"/>
          <w:shd w:val="clear" w:color="auto" w:fill="FFFFFF"/>
        </w:rPr>
        <w:t>報名時間：</w:t>
      </w:r>
      <w:r>
        <w:rPr>
          <w:rFonts w:ascii="Times New Roman" w:eastAsia="標楷體" w:hAnsi="Times New Roman" w:cs="Times New Roman"/>
          <w:color w:val="auto"/>
          <w:sz w:val="24"/>
          <w:szCs w:val="24"/>
          <w:shd w:val="clear" w:color="auto" w:fill="FFFFFF"/>
        </w:rPr>
        <w:t>即日起至</w:t>
      </w:r>
      <w:r>
        <w:rPr>
          <w:rFonts w:ascii="Times New Roman" w:eastAsia="標楷體" w:hAnsi="Times New Roman" w:cs="Times New Roman"/>
          <w:color w:val="auto"/>
          <w:sz w:val="24"/>
          <w:szCs w:val="24"/>
          <w:shd w:val="clear" w:color="auto" w:fill="FFFFFF"/>
        </w:rPr>
        <w:t>110</w:t>
      </w:r>
      <w:r>
        <w:rPr>
          <w:rFonts w:ascii="Times New Roman" w:eastAsia="標楷體" w:hAnsi="Times New Roman" w:cs="Times New Roman"/>
          <w:color w:val="auto"/>
          <w:sz w:val="24"/>
          <w:szCs w:val="24"/>
          <w:shd w:val="clear" w:color="auto" w:fill="FFFFFF"/>
        </w:rPr>
        <w:t>年</w:t>
      </w:r>
      <w:r>
        <w:rPr>
          <w:rFonts w:ascii="Times New Roman" w:eastAsia="標楷體" w:hAnsi="Times New Roman" w:cs="Times New Roman"/>
          <w:color w:val="auto"/>
          <w:sz w:val="24"/>
          <w:szCs w:val="24"/>
          <w:shd w:val="clear" w:color="auto" w:fill="FFFFFF"/>
        </w:rPr>
        <w:t>7</w:t>
      </w:r>
      <w:r>
        <w:rPr>
          <w:rFonts w:ascii="Times New Roman" w:eastAsia="標楷體" w:hAnsi="Times New Roman" w:cs="Times New Roman"/>
          <w:color w:val="auto"/>
          <w:sz w:val="24"/>
          <w:szCs w:val="24"/>
          <w:shd w:val="clear" w:color="auto" w:fill="FFFFFF"/>
        </w:rPr>
        <w:t>月</w:t>
      </w:r>
      <w:r>
        <w:rPr>
          <w:rFonts w:ascii="Times New Roman" w:eastAsia="標楷體" w:hAnsi="Times New Roman" w:cs="Times New Roman"/>
          <w:color w:val="auto"/>
          <w:sz w:val="24"/>
          <w:szCs w:val="24"/>
          <w:shd w:val="clear" w:color="auto" w:fill="FFFFFF"/>
        </w:rPr>
        <w:t>31</w:t>
      </w:r>
      <w:r>
        <w:rPr>
          <w:rFonts w:ascii="Times New Roman" w:eastAsia="標楷體" w:hAnsi="Times New Roman" w:cs="Times New Roman"/>
          <w:color w:val="auto"/>
          <w:sz w:val="24"/>
          <w:szCs w:val="24"/>
          <w:shd w:val="clear" w:color="auto" w:fill="FFFFFF"/>
        </w:rPr>
        <w:t>日止</w:t>
      </w:r>
    </w:p>
    <w:p w:rsidR="00351318" w:rsidRDefault="00AD6D16">
      <w:pPr>
        <w:spacing w:before="180" w:line="0" w:lineRule="atLeast"/>
        <w:ind w:left="1924" w:hanging="1213"/>
      </w:pPr>
      <w:r>
        <w:rPr>
          <w:rFonts w:ascii="Times New Roman" w:eastAsia="標楷體" w:hAnsi="Times New Roman" w:cs="Times New Roman"/>
          <w:b/>
          <w:color w:val="auto"/>
          <w:sz w:val="24"/>
          <w:szCs w:val="24"/>
          <w:shd w:val="clear" w:color="auto" w:fill="FFFFFF"/>
        </w:rPr>
        <w:t>上課時間：</w:t>
      </w:r>
      <w:r>
        <w:rPr>
          <w:rFonts w:ascii="Times New Roman" w:eastAsia="標楷體" w:hAnsi="Times New Roman" w:cs="Times New Roman"/>
          <w:color w:val="auto"/>
          <w:sz w:val="24"/>
          <w:szCs w:val="24"/>
          <w:shd w:val="clear" w:color="auto" w:fill="FFFFFF"/>
        </w:rPr>
        <w:t>自完成繳費日起算</w:t>
      </w:r>
      <w:r>
        <w:rPr>
          <w:rFonts w:ascii="Times New Roman" w:eastAsia="標楷體" w:hAnsi="Times New Roman" w:cs="Times New Roman"/>
          <w:color w:val="auto"/>
          <w:sz w:val="24"/>
          <w:szCs w:val="24"/>
          <w:shd w:val="clear" w:color="auto" w:fill="FFFFFF"/>
        </w:rPr>
        <w:t>21</w:t>
      </w:r>
      <w:r>
        <w:rPr>
          <w:rFonts w:ascii="Times New Roman" w:eastAsia="標楷體" w:hAnsi="Times New Roman" w:cs="Times New Roman"/>
          <w:color w:val="auto"/>
          <w:sz w:val="24"/>
          <w:szCs w:val="24"/>
          <w:shd w:val="clear" w:color="auto" w:fill="FFFFFF"/>
        </w:rPr>
        <w:t>天，不限時段，隨時可上本校雲端學院上課。</w:t>
      </w:r>
    </w:p>
    <w:p w:rsidR="00351318" w:rsidRDefault="00AD6D16">
      <w:pPr>
        <w:spacing w:before="180" w:line="0" w:lineRule="atLeast"/>
        <w:ind w:left="1924" w:hanging="1213"/>
      </w:pPr>
      <w:r>
        <w:rPr>
          <w:rFonts w:ascii="Times New Roman" w:eastAsia="標楷體" w:hAnsi="Times New Roman" w:cs="Times New Roman"/>
          <w:b/>
          <w:color w:val="auto"/>
          <w:sz w:val="24"/>
          <w:szCs w:val="24"/>
          <w:shd w:val="clear" w:color="auto" w:fill="FFFFFF"/>
        </w:rPr>
        <w:t>上課費用：</w:t>
      </w:r>
      <w:r>
        <w:rPr>
          <w:rFonts w:ascii="Times New Roman" w:eastAsia="標楷體" w:hAnsi="Times New Roman" w:cs="Times New Roman"/>
          <w:color w:val="auto"/>
          <w:sz w:val="24"/>
          <w:szCs w:val="24"/>
          <w:shd w:val="clear" w:color="auto" w:fill="FFFFFF"/>
        </w:rPr>
        <w:t>1,050</w:t>
      </w:r>
      <w:r>
        <w:rPr>
          <w:rFonts w:ascii="Times New Roman" w:eastAsia="標楷體" w:hAnsi="Times New Roman" w:cs="Times New Roman"/>
          <w:color w:val="auto"/>
          <w:sz w:val="24"/>
          <w:szCs w:val="24"/>
          <w:shd w:val="clear" w:color="auto" w:fill="FFFFFF"/>
        </w:rPr>
        <w:t>元。（</w:t>
      </w:r>
      <w:r>
        <w:rPr>
          <w:rFonts w:ascii="Times New Roman" w:eastAsia="標楷體" w:hAnsi="Times New Roman" w:cs="Times New Roman"/>
          <w:color w:val="auto"/>
          <w:sz w:val="24"/>
          <w:szCs w:val="24"/>
          <w:shd w:val="clear" w:color="auto" w:fill="FFFFFF"/>
        </w:rPr>
        <w:t>2</w:t>
      </w:r>
      <w:r>
        <w:rPr>
          <w:rFonts w:ascii="Times New Roman" w:eastAsia="標楷體" w:hAnsi="Times New Roman" w:cs="Times New Roman"/>
          <w:color w:val="auto"/>
          <w:sz w:val="24"/>
          <w:szCs w:val="24"/>
          <w:shd w:val="clear" w:color="auto" w:fill="FFFFFF"/>
        </w:rPr>
        <w:t>人同行享課程費用</w:t>
      </w:r>
      <w:r>
        <w:rPr>
          <w:rFonts w:ascii="Times New Roman" w:eastAsia="標楷體" w:hAnsi="Times New Roman" w:cs="Times New Roman"/>
          <w:color w:val="auto"/>
          <w:sz w:val="24"/>
          <w:szCs w:val="24"/>
          <w:shd w:val="clear" w:color="auto" w:fill="FFFFFF"/>
        </w:rPr>
        <w:t>9</w:t>
      </w:r>
      <w:r>
        <w:rPr>
          <w:rFonts w:ascii="Times New Roman" w:eastAsia="標楷體" w:hAnsi="Times New Roman" w:cs="Times New Roman"/>
          <w:color w:val="auto"/>
          <w:sz w:val="24"/>
          <w:szCs w:val="24"/>
          <w:shd w:val="clear" w:color="auto" w:fill="FFFFFF"/>
        </w:rPr>
        <w:t>折優惠</w:t>
      </w:r>
      <w:r>
        <w:rPr>
          <w:rFonts w:ascii="Times New Roman" w:eastAsia="標楷體" w:hAnsi="Times New Roman" w:cs="Times New Roman"/>
          <w:color w:val="auto"/>
          <w:sz w:val="24"/>
          <w:szCs w:val="24"/>
          <w:shd w:val="clear" w:color="auto" w:fill="FFFFFF"/>
        </w:rPr>
        <w:t>-</w:t>
      </w:r>
      <w:r>
        <w:rPr>
          <w:rFonts w:ascii="Times New Roman" w:eastAsia="標楷體" w:hAnsi="Times New Roman" w:cs="Times New Roman"/>
          <w:color w:val="auto"/>
          <w:sz w:val="24"/>
          <w:szCs w:val="24"/>
          <w:shd w:val="clear" w:color="auto" w:fill="FFFFFF"/>
        </w:rPr>
        <w:t>每人</w:t>
      </w:r>
      <w:r>
        <w:rPr>
          <w:rFonts w:ascii="Times New Roman" w:eastAsia="標楷體" w:hAnsi="Times New Roman" w:cs="Times New Roman"/>
          <w:color w:val="auto"/>
          <w:sz w:val="24"/>
          <w:szCs w:val="24"/>
          <w:shd w:val="clear" w:color="auto" w:fill="FFFFFF"/>
        </w:rPr>
        <w:t>945</w:t>
      </w:r>
      <w:r>
        <w:rPr>
          <w:rFonts w:ascii="Times New Roman" w:eastAsia="標楷體" w:hAnsi="Times New Roman" w:cs="Times New Roman"/>
          <w:color w:val="auto"/>
          <w:sz w:val="24"/>
          <w:szCs w:val="24"/>
          <w:shd w:val="clear" w:color="auto" w:fill="FFFFFF"/>
        </w:rPr>
        <w:t>元，</w:t>
      </w:r>
      <w:r>
        <w:rPr>
          <w:rFonts w:ascii="Times New Roman" w:eastAsia="標楷體" w:hAnsi="Times New Roman" w:cs="Times New Roman"/>
          <w:color w:val="auto"/>
          <w:sz w:val="24"/>
          <w:szCs w:val="24"/>
          <w:shd w:val="clear" w:color="auto" w:fill="FFFFFF"/>
        </w:rPr>
        <w:t>5</w:t>
      </w:r>
      <w:r>
        <w:rPr>
          <w:rFonts w:ascii="Times New Roman" w:eastAsia="標楷體" w:hAnsi="Times New Roman" w:cs="Times New Roman"/>
          <w:color w:val="auto"/>
          <w:sz w:val="24"/>
          <w:szCs w:val="24"/>
          <w:shd w:val="clear" w:color="auto" w:fill="FFFFFF"/>
        </w:rPr>
        <w:t>人同行享課程費用</w:t>
      </w:r>
      <w:r>
        <w:rPr>
          <w:rFonts w:ascii="Times New Roman" w:eastAsia="標楷體" w:hAnsi="Times New Roman" w:cs="Times New Roman"/>
          <w:color w:val="auto"/>
          <w:sz w:val="24"/>
          <w:szCs w:val="24"/>
          <w:shd w:val="clear" w:color="auto" w:fill="FFFFFF"/>
        </w:rPr>
        <w:t>8</w:t>
      </w:r>
      <w:r>
        <w:rPr>
          <w:rFonts w:ascii="Times New Roman" w:eastAsia="標楷體" w:hAnsi="Times New Roman" w:cs="Times New Roman"/>
          <w:color w:val="auto"/>
          <w:sz w:val="24"/>
          <w:szCs w:val="24"/>
          <w:shd w:val="clear" w:color="auto" w:fill="FFFFFF"/>
        </w:rPr>
        <w:t>折優惠</w:t>
      </w:r>
      <w:r>
        <w:rPr>
          <w:rFonts w:ascii="Times New Roman" w:eastAsia="標楷體" w:hAnsi="Times New Roman" w:cs="Times New Roman"/>
          <w:color w:val="auto"/>
          <w:sz w:val="24"/>
          <w:szCs w:val="24"/>
          <w:shd w:val="clear" w:color="auto" w:fill="FFFFFF"/>
        </w:rPr>
        <w:t>-</w:t>
      </w:r>
      <w:r>
        <w:rPr>
          <w:rFonts w:ascii="Times New Roman" w:eastAsia="標楷體" w:hAnsi="Times New Roman" w:cs="Times New Roman"/>
          <w:color w:val="auto"/>
          <w:sz w:val="24"/>
          <w:szCs w:val="24"/>
          <w:shd w:val="clear" w:color="auto" w:fill="FFFFFF"/>
        </w:rPr>
        <w:t>每人</w:t>
      </w:r>
      <w:r>
        <w:rPr>
          <w:rFonts w:ascii="Times New Roman" w:eastAsia="標楷體" w:hAnsi="Times New Roman" w:cs="Times New Roman"/>
          <w:color w:val="auto"/>
          <w:sz w:val="24"/>
          <w:szCs w:val="24"/>
          <w:shd w:val="clear" w:color="auto" w:fill="FFFFFF"/>
        </w:rPr>
        <w:t>840</w:t>
      </w:r>
      <w:r>
        <w:rPr>
          <w:rFonts w:ascii="Times New Roman" w:eastAsia="標楷體" w:hAnsi="Times New Roman" w:cs="Times New Roman"/>
          <w:color w:val="auto"/>
          <w:sz w:val="24"/>
          <w:szCs w:val="24"/>
          <w:shd w:val="clear" w:color="auto" w:fill="FFFFFF"/>
        </w:rPr>
        <w:t>元）</w:t>
      </w:r>
    </w:p>
    <w:p w:rsidR="00351318" w:rsidRDefault="00AD6D16">
      <w:pPr>
        <w:spacing w:before="180" w:line="0" w:lineRule="atLeast"/>
        <w:ind w:left="1924" w:hanging="1213"/>
      </w:pPr>
      <w:r>
        <w:rPr>
          <w:rFonts w:ascii="Times New Roman" w:eastAsia="標楷體" w:hAnsi="Times New Roman" w:cs="Times New Roman"/>
          <w:b/>
          <w:color w:val="auto"/>
          <w:sz w:val="24"/>
          <w:szCs w:val="24"/>
          <w:shd w:val="clear" w:color="auto" w:fill="FFFFFF"/>
        </w:rPr>
        <w:t>報名步驟：</w:t>
      </w:r>
      <w:r>
        <w:rPr>
          <w:rFonts w:ascii="Times New Roman" w:eastAsia="標楷體" w:hAnsi="Times New Roman" w:cs="Times New Roman"/>
          <w:color w:val="auto"/>
          <w:sz w:val="24"/>
          <w:szCs w:val="24"/>
          <w:shd w:val="clear" w:color="auto" w:fill="FFFFFF"/>
        </w:rPr>
        <w:t>線上報名，請至本校進修學院報名網站報名。</w:t>
      </w:r>
      <w:r>
        <w:rPr>
          <w:rFonts w:ascii="Times New Roman" w:eastAsia="標楷體" w:hAnsi="Times New Roman" w:cs="Times New Roman"/>
          <w:color w:val="auto"/>
          <w:sz w:val="24"/>
          <w:szCs w:val="24"/>
          <w:shd w:val="clear" w:color="auto" w:fill="FFFFFF"/>
        </w:rPr>
        <w:t>(</w:t>
      </w:r>
      <w:hyperlink r:id="rId8" w:history="1">
        <w:r>
          <w:rPr>
            <w:rStyle w:val="a8"/>
            <w:rFonts w:ascii="Times New Roman" w:eastAsia="標楷體" w:hAnsi="Times New Roman" w:cs="Times New Roman"/>
            <w:sz w:val="24"/>
            <w:szCs w:val="24"/>
            <w:shd w:val="clear" w:color="auto" w:fill="FFFFFF"/>
          </w:rPr>
          <w:t>https://forms.gle/riHFtBiNerEiBntGA</w:t>
        </w:r>
      </w:hyperlink>
      <w:r>
        <w:rPr>
          <w:rFonts w:ascii="Times New Roman" w:eastAsia="標楷體" w:hAnsi="Times New Roman" w:cs="Times New Roman"/>
          <w:color w:val="auto"/>
          <w:sz w:val="24"/>
          <w:szCs w:val="24"/>
          <w:shd w:val="clear" w:color="auto" w:fill="FFFFFF"/>
        </w:rPr>
        <w:t>)</w:t>
      </w:r>
    </w:p>
    <w:p w:rsidR="00351318" w:rsidRDefault="00AD6D16">
      <w:pPr>
        <w:spacing w:before="180" w:line="0" w:lineRule="atLeast"/>
        <w:ind w:left="1924" w:hanging="1213"/>
      </w:pPr>
      <w:r>
        <w:rPr>
          <w:rFonts w:ascii="Times New Roman" w:eastAsia="標楷體" w:hAnsi="Times New Roman" w:cs="Times New Roman"/>
          <w:b/>
          <w:color w:val="auto"/>
          <w:sz w:val="24"/>
          <w:szCs w:val="24"/>
          <w:shd w:val="clear" w:color="auto" w:fill="FFFFFF"/>
        </w:rPr>
        <w:t>繳費方式：</w:t>
      </w:r>
      <w:r>
        <w:rPr>
          <w:rFonts w:ascii="Times New Roman" w:eastAsia="標楷體" w:hAnsi="Times New Roman" w:cs="Times New Roman"/>
          <w:color w:val="auto"/>
          <w:sz w:val="24"/>
          <w:szCs w:val="24"/>
          <w:shd w:val="clear" w:color="auto" w:fill="FFFFFF"/>
        </w:rPr>
        <w:t>線上報名完成後，承辦單位以</w:t>
      </w:r>
      <w:r>
        <w:rPr>
          <w:rFonts w:ascii="Times New Roman" w:eastAsia="標楷體" w:hAnsi="Times New Roman" w:cs="Times New Roman"/>
          <w:color w:val="auto"/>
          <w:sz w:val="24"/>
          <w:szCs w:val="24"/>
          <w:shd w:val="clear" w:color="auto" w:fill="FFFFFF"/>
        </w:rPr>
        <w:t>E-Mail</w:t>
      </w:r>
      <w:r>
        <w:rPr>
          <w:rFonts w:ascii="Times New Roman" w:eastAsia="標楷體" w:hAnsi="Times New Roman" w:cs="Times New Roman"/>
          <w:color w:val="auto"/>
          <w:sz w:val="24"/>
          <w:szCs w:val="24"/>
          <w:shd w:val="clear" w:color="auto" w:fill="FFFFFF"/>
        </w:rPr>
        <w:t>寄送繳費通知繳款作業，請依繳費期限內，以</w:t>
      </w:r>
      <w:r>
        <w:rPr>
          <w:rFonts w:ascii="標楷體" w:eastAsia="標楷體" w:hAnsi="標楷體" w:cs="Helvetica"/>
          <w:b/>
          <w:bCs/>
          <w:color w:val="500050"/>
          <w:shd w:val="clear" w:color="auto" w:fill="FFFFFF"/>
        </w:rPr>
        <w:t>轉帳匯款至</w:t>
      </w:r>
      <w:r>
        <w:rPr>
          <w:rFonts w:ascii="標楷體" w:eastAsia="標楷體" w:hAnsi="標楷體" w:cs="Helvetica"/>
          <w:b/>
          <w:bCs/>
          <w:color w:val="0000FF"/>
          <w:shd w:val="clear" w:color="auto" w:fill="FFFFFF"/>
        </w:rPr>
        <w:t>戶名：『國立彰化師範大學招生專戶』</w:t>
      </w:r>
      <w:r>
        <w:rPr>
          <w:rFonts w:ascii="標楷體" w:eastAsia="標楷體" w:hAnsi="標楷體" w:cs="Times New Roman"/>
          <w:color w:val="auto"/>
          <w:sz w:val="24"/>
          <w:szCs w:val="24"/>
          <w:shd w:val="clear" w:color="auto" w:fill="FFFFFF"/>
        </w:rPr>
        <w:t>，</w:t>
      </w:r>
      <w:r>
        <w:rPr>
          <w:rFonts w:ascii="標楷體" w:eastAsia="標楷體" w:hAnsi="標楷體" w:cs="Helvetica"/>
          <w:b/>
          <w:bCs/>
          <w:color w:val="0000FF"/>
          <w:shd w:val="clear" w:color="auto" w:fill="FFFFFF"/>
        </w:rPr>
        <w:t>銀行代碼：『</w:t>
      </w:r>
      <w:r>
        <w:rPr>
          <w:rFonts w:ascii="標楷體" w:eastAsia="標楷體" w:hAnsi="標楷體" w:cs="Helvetica"/>
          <w:b/>
          <w:bCs/>
          <w:color w:val="0000FF"/>
          <w:shd w:val="clear" w:color="auto" w:fill="FFFFFF"/>
        </w:rPr>
        <w:t>808</w:t>
      </w:r>
      <w:r>
        <w:rPr>
          <w:rFonts w:ascii="標楷體" w:eastAsia="標楷體" w:hAnsi="標楷體" w:cs="Helvetica"/>
          <w:b/>
          <w:bCs/>
          <w:color w:val="0000FF"/>
          <w:shd w:val="clear" w:color="auto" w:fill="FFFFFF"/>
        </w:rPr>
        <w:t>』玉山銀行彰化分行，帳號：『</w:t>
      </w:r>
      <w:r>
        <w:rPr>
          <w:rFonts w:ascii="標楷體" w:eastAsia="標楷體" w:hAnsi="標楷體" w:cs="Helvetica"/>
          <w:b/>
          <w:bCs/>
          <w:color w:val="0000FF"/>
          <w:shd w:val="clear" w:color="auto" w:fill="FFFFFF"/>
        </w:rPr>
        <w:t>0336</w:t>
      </w:r>
      <w:r>
        <w:rPr>
          <w:rFonts w:ascii="標楷體" w:eastAsia="標楷體" w:hAnsi="標楷體" w:cs="Helvetica"/>
          <w:b/>
          <w:bCs/>
          <w:color w:val="0000FF"/>
          <w:shd w:val="clear" w:color="auto" w:fill="FFFFFF"/>
        </w:rPr>
        <w:t>－</w:t>
      </w:r>
      <w:r>
        <w:rPr>
          <w:rFonts w:ascii="標楷體" w:eastAsia="標楷體" w:hAnsi="標楷體" w:cs="Helvetica"/>
          <w:b/>
          <w:bCs/>
          <w:color w:val="0000FF"/>
          <w:shd w:val="clear" w:color="auto" w:fill="FFFFFF"/>
        </w:rPr>
        <w:t>44000</w:t>
      </w:r>
      <w:r>
        <w:rPr>
          <w:rFonts w:ascii="標楷體" w:eastAsia="標楷體" w:hAnsi="標楷體" w:cs="Helvetica"/>
          <w:b/>
          <w:bCs/>
          <w:color w:val="0000FF"/>
          <w:shd w:val="clear" w:color="auto" w:fill="FFFFFF"/>
        </w:rPr>
        <w:t>－</w:t>
      </w:r>
      <w:r>
        <w:rPr>
          <w:rFonts w:ascii="標楷體" w:eastAsia="標楷體" w:hAnsi="標楷體" w:cs="Helvetica"/>
          <w:b/>
          <w:bCs/>
          <w:color w:val="0000FF"/>
          <w:shd w:val="clear" w:color="auto" w:fill="FFFFFF"/>
        </w:rPr>
        <w:t>0495</w:t>
      </w:r>
      <w:r>
        <w:rPr>
          <w:rFonts w:ascii="標楷體" w:eastAsia="標楷體" w:hAnsi="標楷體" w:cs="Helvetica"/>
          <w:b/>
          <w:bCs/>
          <w:color w:val="0000FF"/>
          <w:shd w:val="clear" w:color="auto" w:fill="FFFFFF"/>
        </w:rPr>
        <w:t>』</w:t>
      </w:r>
      <w:r>
        <w:rPr>
          <w:rFonts w:ascii="Times New Roman" w:eastAsia="標楷體" w:hAnsi="Times New Roman" w:cs="Times New Roman"/>
          <w:color w:val="auto"/>
          <w:sz w:val="24"/>
          <w:szCs w:val="24"/>
          <w:shd w:val="clear" w:color="auto" w:fill="FFFFFF"/>
        </w:rPr>
        <w:t>。</w:t>
      </w:r>
    </w:p>
    <w:p w:rsidR="00351318" w:rsidRDefault="00AD6D16">
      <w:pPr>
        <w:spacing w:before="180" w:line="0" w:lineRule="atLeast"/>
        <w:ind w:left="1924" w:hanging="1213"/>
      </w:pPr>
      <w:r>
        <w:rPr>
          <w:rFonts w:ascii="Times New Roman" w:eastAsia="標楷體" w:hAnsi="Times New Roman" w:cs="Times New Roman"/>
          <w:b/>
          <w:color w:val="auto"/>
          <w:sz w:val="24"/>
          <w:szCs w:val="24"/>
          <w:shd w:val="clear" w:color="auto" w:fill="FFFFFF"/>
        </w:rPr>
        <w:t>退費方式：</w:t>
      </w:r>
      <w:r>
        <w:rPr>
          <w:rFonts w:ascii="Times New Roman" w:eastAsia="標楷體" w:hAnsi="Times New Roman" w:cs="Times New Roman"/>
          <w:color w:val="auto"/>
          <w:sz w:val="24"/>
          <w:szCs w:val="24"/>
          <w:shd w:val="clear" w:color="auto" w:fill="FFFFFF"/>
        </w:rPr>
        <w:t>學員完成報名繳費後，因故申請退費，應依下列方式辦理：</w:t>
      </w:r>
    </w:p>
    <w:p w:rsidR="00351318" w:rsidRDefault="00AD6D16">
      <w:pPr>
        <w:spacing w:line="0" w:lineRule="atLeast"/>
        <w:ind w:left="2550" w:hanging="744"/>
      </w:pPr>
      <w:r>
        <w:rPr>
          <w:rFonts w:ascii="標楷體" w:eastAsia="標楷體" w:hAnsi="標楷體" w:cs="Times New Roman"/>
          <w:color w:val="auto"/>
          <w:sz w:val="24"/>
          <w:szCs w:val="24"/>
          <w:shd w:val="clear" w:color="auto" w:fill="FFFFFF"/>
        </w:rPr>
        <w:t>（一）</w:t>
      </w:r>
      <w:r>
        <w:rPr>
          <w:rFonts w:ascii="Times New Roman" w:eastAsia="標楷體" w:hAnsi="Times New Roman" w:cs="Times New Roman"/>
          <w:color w:val="auto"/>
          <w:sz w:val="24"/>
          <w:szCs w:val="24"/>
          <w:shd w:val="clear" w:color="auto" w:fill="FFFFFF"/>
        </w:rPr>
        <w:t>因學員自報名繳費後至開始修讀線上數位課程前申請退費者，退還已繳學費之九成。自開始修讀線上數位課程起申請退費者，不予退還。</w:t>
      </w:r>
    </w:p>
    <w:p w:rsidR="00351318" w:rsidRDefault="00AD6D16">
      <w:pPr>
        <w:spacing w:line="0" w:lineRule="atLeast"/>
        <w:ind w:left="2550" w:hanging="744"/>
      </w:pPr>
      <w:r>
        <w:rPr>
          <w:rFonts w:ascii="標楷體" w:eastAsia="標楷體" w:hAnsi="標楷體" w:cs="Times New Roman"/>
          <w:color w:val="auto"/>
          <w:sz w:val="24"/>
          <w:szCs w:val="24"/>
          <w:shd w:val="clear" w:color="auto" w:fill="FFFFFF"/>
        </w:rPr>
        <w:t>（二）學校因故未能開班上課，應全額退還已繳費用。</w:t>
      </w:r>
    </w:p>
    <w:p w:rsidR="00351318" w:rsidRDefault="00AD6D16">
      <w:pPr>
        <w:spacing w:line="0" w:lineRule="atLeast"/>
        <w:ind w:left="2623" w:hanging="1912"/>
        <w:rPr>
          <w:rFonts w:ascii="Times New Roman" w:eastAsia="標楷體" w:hAnsi="Times New Roman" w:cs="Times New Roman"/>
          <w:b/>
          <w:color w:val="auto"/>
          <w:sz w:val="24"/>
          <w:szCs w:val="24"/>
          <w:shd w:val="clear" w:color="auto" w:fill="FFFFFF"/>
        </w:rPr>
      </w:pPr>
      <w:r>
        <w:rPr>
          <w:rFonts w:ascii="Times New Roman" w:eastAsia="標楷體" w:hAnsi="Times New Roman" w:cs="Times New Roman"/>
          <w:b/>
          <w:color w:val="auto"/>
          <w:sz w:val="24"/>
          <w:szCs w:val="24"/>
          <w:shd w:val="clear" w:color="auto" w:fill="FFFFFF"/>
        </w:rPr>
        <w:t>注意事項：</w:t>
      </w:r>
    </w:p>
    <w:p w:rsidR="00351318" w:rsidRDefault="00AD6D16">
      <w:pPr>
        <w:spacing w:line="0" w:lineRule="atLeast"/>
        <w:ind w:left="2619" w:hanging="778"/>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（一）本班為非學分班，學員須完成所有線上數位課程，頒發研習證書。</w:t>
      </w:r>
    </w:p>
    <w:p w:rsidR="00351318" w:rsidRDefault="00AD6D16">
      <w:pPr>
        <w:spacing w:line="0" w:lineRule="atLeast"/>
        <w:ind w:left="2549" w:hanging="708"/>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（二）如遇風災、地震或重大不可抗力之因素造成停課事件，可加計修課天數；且均依彰化縣政府公告辦理。</w:t>
      </w:r>
    </w:p>
    <w:p w:rsidR="00351318" w:rsidRDefault="00AD6D16">
      <w:pPr>
        <w:spacing w:line="0" w:lineRule="atLeast"/>
        <w:ind w:left="2549" w:hanging="708"/>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（三）本校保有最終修改招生簡章權利。</w:t>
      </w:r>
    </w:p>
    <w:p w:rsidR="00351318" w:rsidRDefault="00AD6D16">
      <w:pPr>
        <w:spacing w:before="180" w:line="0" w:lineRule="atLeast"/>
        <w:ind w:left="1953" w:hanging="2"/>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本簡章如有未盡事宜，悉依本校相關規定辦理；課程資訊如有相關異動，以本校網站公告為準，以上內容主辦單位有權更改相關活動內容。</w:t>
      </w:r>
    </w:p>
    <w:p w:rsidR="00351318" w:rsidRDefault="00AD6D16">
      <w:pPr>
        <w:pageBreakBefore/>
        <w:spacing w:line="240" w:lineRule="auto"/>
      </w:pPr>
      <w:r>
        <w:rPr>
          <w:rFonts w:ascii="Times New Roman" w:eastAsia="標楷體" w:hAnsi="Times New Roman" w:cs="Times New Roman"/>
          <w:b/>
          <w:color w:val="auto"/>
          <w:sz w:val="24"/>
          <w:szCs w:val="24"/>
          <w:shd w:val="clear" w:color="auto" w:fill="FFFFFF"/>
        </w:rPr>
        <w:lastRenderedPageBreak/>
        <w:t>聯絡方式：</w:t>
      </w:r>
      <w:r>
        <w:rPr>
          <w:rFonts w:ascii="Times New Roman" w:eastAsia="標楷體" w:hAnsi="Times New Roman" w:cs="Times New Roman"/>
          <w:b/>
          <w:color w:val="auto"/>
          <w:sz w:val="24"/>
          <w:szCs w:val="24"/>
          <w:shd w:val="clear" w:color="auto" w:fill="FFFFFF"/>
        </w:rPr>
        <w:t xml:space="preserve"> </w:t>
      </w:r>
      <w:r>
        <w:rPr>
          <w:rFonts w:ascii="Times New Roman" w:eastAsia="標楷體" w:hAnsi="Times New Roman" w:cs="Times New Roman"/>
          <w:color w:val="auto"/>
          <w:sz w:val="24"/>
          <w:szCs w:val="24"/>
          <w:shd w:val="clear" w:color="auto" w:fill="FFFFFF"/>
        </w:rPr>
        <w:t>國立彰化師範大學教務處數位學習組</w:t>
      </w:r>
    </w:p>
    <w:p w:rsidR="00351318" w:rsidRDefault="00AD6D16">
      <w:pPr>
        <w:spacing w:line="0" w:lineRule="atLeast"/>
        <w:ind w:left="1984" w:firstLine="3"/>
        <w:rPr>
          <w:rFonts w:ascii="Times New Roman" w:eastAsia="標楷體" w:hAnsi="Times New Roman" w:cs="Times New Roman"/>
          <w:color w:val="auto"/>
          <w:sz w:val="24"/>
          <w:szCs w:val="24"/>
          <w:shd w:val="clear" w:color="auto" w:fill="FFFFFF"/>
        </w:rPr>
      </w:pPr>
      <w:r>
        <w:rPr>
          <w:rFonts w:ascii="Times New Roman" w:eastAsia="標楷體" w:hAnsi="Times New Roman" w:cs="Times New Roman"/>
          <w:color w:val="auto"/>
          <w:sz w:val="24"/>
          <w:szCs w:val="24"/>
          <w:shd w:val="clear" w:color="auto" w:fill="FFFFFF"/>
        </w:rPr>
        <w:t>住址：</w:t>
      </w:r>
      <w:r>
        <w:rPr>
          <w:rFonts w:ascii="Times New Roman" w:eastAsia="標楷體" w:hAnsi="Times New Roman" w:cs="Times New Roman"/>
          <w:color w:val="auto"/>
          <w:sz w:val="24"/>
          <w:szCs w:val="24"/>
          <w:shd w:val="clear" w:color="auto" w:fill="FFFFFF"/>
        </w:rPr>
        <w:t>500</w:t>
      </w:r>
      <w:r>
        <w:rPr>
          <w:rFonts w:ascii="Times New Roman" w:eastAsia="標楷體" w:hAnsi="Times New Roman" w:cs="Times New Roman"/>
          <w:color w:val="auto"/>
          <w:sz w:val="24"/>
          <w:szCs w:val="24"/>
          <w:shd w:val="clear" w:color="auto" w:fill="FFFFFF"/>
        </w:rPr>
        <w:t>彰化市進德路一號白沙大樓</w:t>
      </w:r>
      <w:r>
        <w:rPr>
          <w:rFonts w:ascii="Times New Roman" w:eastAsia="標楷體" w:hAnsi="Times New Roman" w:cs="Times New Roman"/>
          <w:color w:val="auto"/>
          <w:sz w:val="24"/>
          <w:szCs w:val="24"/>
          <w:shd w:val="clear" w:color="auto" w:fill="FFFFFF"/>
        </w:rPr>
        <w:t>2</w:t>
      </w:r>
      <w:r>
        <w:rPr>
          <w:rFonts w:ascii="Times New Roman" w:eastAsia="標楷體" w:hAnsi="Times New Roman" w:cs="Times New Roman"/>
          <w:color w:val="auto"/>
          <w:sz w:val="24"/>
          <w:szCs w:val="24"/>
          <w:shd w:val="clear" w:color="auto" w:fill="FFFFFF"/>
        </w:rPr>
        <w:t>樓室</w:t>
      </w:r>
    </w:p>
    <w:p w:rsidR="00351318" w:rsidRDefault="00AD6D16">
      <w:pPr>
        <w:spacing w:line="0" w:lineRule="atLeast"/>
        <w:ind w:left="1984" w:firstLine="3"/>
        <w:rPr>
          <w:rFonts w:ascii="Times New Roman" w:eastAsia="標楷體" w:hAnsi="Times New Roman" w:cs="Times New Roman"/>
          <w:color w:val="auto"/>
          <w:sz w:val="24"/>
          <w:szCs w:val="24"/>
          <w:shd w:val="clear" w:color="auto" w:fill="FFFFFF"/>
        </w:rPr>
      </w:pPr>
      <w:r>
        <w:rPr>
          <w:rFonts w:ascii="Times New Roman" w:eastAsia="標楷體" w:hAnsi="Times New Roman" w:cs="Times New Roman"/>
          <w:color w:val="auto"/>
          <w:sz w:val="24"/>
          <w:szCs w:val="24"/>
          <w:shd w:val="clear" w:color="auto" w:fill="FFFFFF"/>
        </w:rPr>
        <w:t>電話：（</w:t>
      </w:r>
      <w:r>
        <w:rPr>
          <w:rFonts w:ascii="Times New Roman" w:eastAsia="標楷體" w:hAnsi="Times New Roman" w:cs="Times New Roman"/>
          <w:color w:val="auto"/>
          <w:sz w:val="24"/>
          <w:szCs w:val="24"/>
          <w:shd w:val="clear" w:color="auto" w:fill="FFFFFF"/>
        </w:rPr>
        <w:t>04</w:t>
      </w:r>
      <w:r>
        <w:rPr>
          <w:rFonts w:ascii="Times New Roman" w:eastAsia="標楷體" w:hAnsi="Times New Roman" w:cs="Times New Roman"/>
          <w:color w:val="auto"/>
          <w:sz w:val="24"/>
          <w:szCs w:val="24"/>
          <w:shd w:val="clear" w:color="auto" w:fill="FFFFFF"/>
        </w:rPr>
        <w:t>）</w:t>
      </w:r>
      <w:r>
        <w:rPr>
          <w:rFonts w:ascii="Times New Roman" w:eastAsia="標楷體" w:hAnsi="Times New Roman" w:cs="Times New Roman"/>
          <w:color w:val="auto"/>
          <w:sz w:val="24"/>
          <w:szCs w:val="24"/>
          <w:shd w:val="clear" w:color="auto" w:fill="FFFFFF"/>
        </w:rPr>
        <w:t>7232105</w:t>
      </w:r>
      <w:r>
        <w:rPr>
          <w:rFonts w:ascii="Times New Roman" w:eastAsia="標楷體" w:hAnsi="Times New Roman" w:cs="Times New Roman"/>
          <w:color w:val="auto"/>
          <w:sz w:val="24"/>
          <w:szCs w:val="24"/>
          <w:shd w:val="clear" w:color="auto" w:fill="FFFFFF"/>
        </w:rPr>
        <w:t>分機</w:t>
      </w:r>
      <w:r>
        <w:rPr>
          <w:rFonts w:ascii="Times New Roman" w:eastAsia="標楷體" w:hAnsi="Times New Roman" w:cs="Times New Roman"/>
          <w:color w:val="auto"/>
          <w:sz w:val="24"/>
          <w:szCs w:val="24"/>
          <w:shd w:val="clear" w:color="auto" w:fill="FFFFFF"/>
        </w:rPr>
        <w:t xml:space="preserve">5656  </w:t>
      </w:r>
      <w:r>
        <w:rPr>
          <w:rFonts w:ascii="Times New Roman" w:eastAsia="標楷體" w:hAnsi="Times New Roman" w:cs="Times New Roman"/>
          <w:color w:val="auto"/>
          <w:sz w:val="24"/>
          <w:szCs w:val="24"/>
          <w:shd w:val="clear" w:color="auto" w:fill="FFFFFF"/>
        </w:rPr>
        <w:t>蘇小姐</w:t>
      </w:r>
    </w:p>
    <w:p w:rsidR="00351318" w:rsidRDefault="00AD6D16">
      <w:pPr>
        <w:spacing w:line="0" w:lineRule="atLeast"/>
        <w:ind w:left="1984" w:firstLine="3"/>
      </w:pPr>
      <w:r>
        <w:rPr>
          <w:rFonts w:ascii="Times New Roman" w:eastAsia="標楷體" w:hAnsi="Times New Roman" w:cs="Times New Roman"/>
          <w:color w:val="auto"/>
          <w:sz w:val="24"/>
          <w:szCs w:val="24"/>
          <w:shd w:val="clear" w:color="auto" w:fill="FFFFFF"/>
        </w:rPr>
        <w:t>E-mail</w:t>
      </w:r>
      <w:r>
        <w:rPr>
          <w:rFonts w:ascii="Times New Roman" w:eastAsia="標楷體" w:hAnsi="Times New Roman" w:cs="Times New Roman"/>
          <w:color w:val="auto"/>
          <w:sz w:val="24"/>
          <w:szCs w:val="24"/>
          <w:shd w:val="clear" w:color="auto" w:fill="FFFFFF"/>
        </w:rPr>
        <w:t>：</w:t>
      </w:r>
      <w:hyperlink r:id="rId9" w:history="1">
        <w:r>
          <w:rPr>
            <w:rStyle w:val="a8"/>
            <w:rFonts w:ascii="Times New Roman" w:eastAsia="標楷體" w:hAnsi="Times New Roman" w:cs="Times New Roman"/>
            <w:sz w:val="24"/>
            <w:szCs w:val="24"/>
            <w:shd w:val="clear" w:color="auto" w:fill="FFFFFF"/>
          </w:rPr>
          <w:t>suyujui@gm.ncue.edu.tw</w:t>
        </w:r>
      </w:hyperlink>
    </w:p>
    <w:p w:rsidR="00351318" w:rsidRDefault="00AD6D16">
      <w:pPr>
        <w:spacing w:before="180" w:line="0" w:lineRule="atLeast"/>
        <w:ind w:left="706" w:firstLine="3"/>
        <w:rPr>
          <w:rFonts w:ascii="Times New Roman" w:eastAsia="標楷體" w:hAnsi="Times New Roman" w:cs="Times New Roman"/>
          <w:b/>
          <w:color w:val="auto"/>
          <w:sz w:val="24"/>
          <w:szCs w:val="24"/>
          <w:shd w:val="clear" w:color="auto" w:fill="FFFFFF"/>
        </w:rPr>
      </w:pPr>
      <w:r>
        <w:rPr>
          <w:rFonts w:ascii="Times New Roman" w:eastAsia="標楷體" w:hAnsi="Times New Roman" w:cs="Times New Roman"/>
          <w:b/>
          <w:color w:val="auto"/>
          <w:sz w:val="24"/>
          <w:szCs w:val="24"/>
          <w:shd w:val="clear" w:color="auto" w:fill="FFFFFF"/>
        </w:rPr>
        <w:t>課程單元：</w:t>
      </w:r>
    </w:p>
    <w:tbl>
      <w:tblPr>
        <w:tblW w:w="8930" w:type="dxa"/>
        <w:tblInd w:w="694" w:type="dxa"/>
        <w:tblCellMar>
          <w:left w:w="10" w:type="dxa"/>
          <w:right w:w="10" w:type="dxa"/>
        </w:tblCellMar>
        <w:tblLook w:val="0000" w:firstRow="0" w:lastRow="0" w:firstColumn="0" w:lastColumn="0" w:noHBand="0" w:noVBand="0"/>
      </w:tblPr>
      <w:tblGrid>
        <w:gridCol w:w="1985"/>
        <w:gridCol w:w="4394"/>
        <w:gridCol w:w="709"/>
        <w:gridCol w:w="1842"/>
      </w:tblGrid>
      <w:tr w:rsidR="00351318">
        <w:tblPrEx>
          <w:tblCellMar>
            <w:top w:w="0" w:type="dxa"/>
            <w:bottom w:w="0" w:type="dxa"/>
          </w:tblCellMar>
        </w:tblPrEx>
        <w:trPr>
          <w:trHeight w:val="401"/>
        </w:trPr>
        <w:tc>
          <w:tcPr>
            <w:tcW w:w="198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jc w:val="center"/>
              <w:rPr>
                <w:rFonts w:eastAsia="標楷體"/>
              </w:rPr>
            </w:pPr>
            <w:r>
              <w:rPr>
                <w:rFonts w:eastAsia="標楷體"/>
              </w:rPr>
              <w:t>課程單元</w:t>
            </w:r>
          </w:p>
        </w:tc>
        <w:tc>
          <w:tcPr>
            <w:tcW w:w="439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jc w:val="center"/>
              <w:rPr>
                <w:rFonts w:eastAsia="標楷體"/>
              </w:rPr>
            </w:pPr>
            <w:r>
              <w:rPr>
                <w:rFonts w:eastAsia="標楷體"/>
              </w:rPr>
              <w:t>課程大綱</w:t>
            </w:r>
          </w:p>
        </w:tc>
        <w:tc>
          <w:tcPr>
            <w:tcW w:w="70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jc w:val="center"/>
              <w:rPr>
                <w:rFonts w:eastAsia="標楷體"/>
              </w:rPr>
            </w:pPr>
            <w:r>
              <w:rPr>
                <w:rFonts w:eastAsia="標楷體"/>
              </w:rPr>
              <w:t>時數</w:t>
            </w:r>
          </w:p>
        </w:tc>
        <w:tc>
          <w:tcPr>
            <w:tcW w:w="184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51318" w:rsidRDefault="00AD6D16">
            <w:pPr>
              <w:spacing w:line="260" w:lineRule="exact"/>
              <w:jc w:val="center"/>
            </w:pPr>
            <w:r>
              <w:rPr>
                <w:rFonts w:eastAsia="標楷體"/>
              </w:rPr>
              <w:t>上課時間及地點</w:t>
            </w:r>
          </w:p>
        </w:tc>
      </w:tr>
      <w:tr w:rsidR="00351318">
        <w:tblPrEx>
          <w:tblCellMar>
            <w:top w:w="0" w:type="dxa"/>
            <w:bottom w:w="0" w:type="dxa"/>
          </w:tblCellMar>
        </w:tblPrEx>
        <w:trPr>
          <w:trHeight w:val="538"/>
        </w:trPr>
        <w:tc>
          <w:tcPr>
            <w:tcW w:w="198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rPr>
                <w:rFonts w:eastAsia="標楷體"/>
                <w:szCs w:val="24"/>
              </w:rPr>
            </w:pPr>
            <w:r>
              <w:rPr>
                <w:rFonts w:eastAsia="標楷體"/>
                <w:szCs w:val="24"/>
              </w:rPr>
              <w:t>單元</w:t>
            </w:r>
            <w:r>
              <w:rPr>
                <w:rFonts w:eastAsia="標楷體"/>
                <w:szCs w:val="24"/>
              </w:rPr>
              <w:t>1-</w:t>
            </w:r>
          </w:p>
          <w:p w:rsidR="00351318" w:rsidRDefault="00AD6D16">
            <w:pPr>
              <w:spacing w:line="260" w:lineRule="exact"/>
            </w:pPr>
            <w:r>
              <w:rPr>
                <w:rFonts w:eastAsia="標楷體"/>
                <w:szCs w:val="24"/>
              </w:rPr>
              <w:t>沒有動力不只是不用功，而是課業困擾</w:t>
            </w:r>
            <w:r>
              <w:rPr>
                <w:rFonts w:eastAsia="標楷體"/>
                <w:szCs w:val="24"/>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0" w:lineRule="atLeast"/>
              <w:ind w:left="245" w:hanging="245"/>
              <w:rPr>
                <w:rFonts w:eastAsia="標楷體"/>
              </w:rPr>
            </w:pPr>
            <w:r>
              <w:rPr>
                <w:rFonts w:eastAsia="標楷體"/>
              </w:rPr>
              <w:t>1.</w:t>
            </w:r>
            <w:r>
              <w:rPr>
                <w:rFonts w:eastAsia="標楷體"/>
              </w:rPr>
              <w:t>課業學習影響學生發展與自尊</w:t>
            </w:r>
          </w:p>
          <w:p w:rsidR="00351318" w:rsidRDefault="00AD6D16">
            <w:pPr>
              <w:spacing w:line="0" w:lineRule="atLeast"/>
              <w:ind w:left="245" w:hanging="245"/>
              <w:rPr>
                <w:rFonts w:eastAsia="標楷體"/>
              </w:rPr>
            </w:pPr>
            <w:r>
              <w:rPr>
                <w:rFonts w:eastAsia="標楷體"/>
              </w:rPr>
              <w:t>2.</w:t>
            </w:r>
            <w:r>
              <w:rPr>
                <w:rFonts w:eastAsia="標楷體"/>
              </w:rPr>
              <w:t>課業學習與班級的人際關係和適應</w:t>
            </w:r>
          </w:p>
          <w:p w:rsidR="00351318" w:rsidRDefault="00AD6D16">
            <w:pPr>
              <w:spacing w:line="0" w:lineRule="atLeast"/>
              <w:ind w:left="245" w:hanging="245"/>
              <w:rPr>
                <w:rFonts w:eastAsia="標楷體"/>
              </w:rPr>
            </w:pPr>
            <w:r>
              <w:rPr>
                <w:rFonts w:eastAsia="標楷體"/>
              </w:rPr>
              <w:t>3.</w:t>
            </w:r>
            <w:r>
              <w:rPr>
                <w:rFonts w:eastAsia="標楷體"/>
              </w:rPr>
              <w:t>課業困擾者的樣態</w:t>
            </w:r>
          </w:p>
          <w:p w:rsidR="00351318" w:rsidRDefault="00AD6D16">
            <w:pPr>
              <w:spacing w:line="0" w:lineRule="atLeast"/>
              <w:ind w:left="245" w:hanging="245"/>
              <w:rPr>
                <w:rFonts w:eastAsia="標楷體"/>
              </w:rPr>
            </w:pPr>
            <w:r>
              <w:rPr>
                <w:rFonts w:eastAsia="標楷體"/>
              </w:rPr>
              <w:t>4.</w:t>
            </w:r>
            <w:r>
              <w:rPr>
                <w:rFonts w:eastAsia="標楷體"/>
              </w:rPr>
              <w:t>這樣尋常可見的學生少了什麼？</w:t>
            </w:r>
          </w:p>
          <w:p w:rsidR="00351318" w:rsidRDefault="00AD6D16">
            <w:pPr>
              <w:spacing w:line="0" w:lineRule="atLeast"/>
              <w:ind w:left="245" w:hanging="245"/>
              <w:rPr>
                <w:rFonts w:eastAsia="標楷體"/>
              </w:rPr>
            </w:pPr>
            <w:r>
              <w:rPr>
                <w:rFonts w:eastAsia="標楷體"/>
              </w:rPr>
              <w:t>5.</w:t>
            </w:r>
            <w:r>
              <w:rPr>
                <w:rFonts w:eastAsia="標楷體"/>
              </w:rPr>
              <w:t>能力、先備知識與課業困擾</w:t>
            </w:r>
          </w:p>
          <w:p w:rsidR="00351318" w:rsidRDefault="00AD6D16">
            <w:pPr>
              <w:spacing w:line="0" w:lineRule="atLeast"/>
              <w:ind w:left="245" w:hanging="245"/>
              <w:rPr>
                <w:rFonts w:eastAsia="標楷體"/>
              </w:rPr>
            </w:pPr>
            <w:r>
              <w:rPr>
                <w:rFonts w:eastAsia="標楷體"/>
              </w:rPr>
              <w:t>6.</w:t>
            </w:r>
            <w:r>
              <w:rPr>
                <w:rFonts w:eastAsia="標楷體"/>
              </w:rPr>
              <w:t>學習環境、資源與課業困擾</w:t>
            </w:r>
          </w:p>
          <w:p w:rsidR="00351318" w:rsidRDefault="00AD6D16">
            <w:pPr>
              <w:spacing w:line="0" w:lineRule="atLeast"/>
              <w:ind w:left="245" w:hanging="245"/>
              <w:rPr>
                <w:rFonts w:eastAsia="標楷體"/>
              </w:rPr>
            </w:pPr>
            <w:r>
              <w:rPr>
                <w:rFonts w:eastAsia="標楷體"/>
              </w:rPr>
              <w:t>7.</w:t>
            </w:r>
            <w:r>
              <w:rPr>
                <w:rFonts w:eastAsia="標楷體"/>
              </w:rPr>
              <w:t>學習行為、動力與課業困擾</w:t>
            </w:r>
          </w:p>
          <w:p w:rsidR="00351318" w:rsidRDefault="00AD6D16">
            <w:pPr>
              <w:spacing w:line="0" w:lineRule="atLeast"/>
              <w:ind w:left="245" w:hanging="245"/>
              <w:rPr>
                <w:rFonts w:eastAsia="標楷體"/>
              </w:rPr>
            </w:pPr>
            <w:r>
              <w:rPr>
                <w:rFonts w:eastAsia="標楷體"/>
              </w:rPr>
              <w:t>8.</w:t>
            </w:r>
            <w:r>
              <w:rPr>
                <w:rFonts w:eastAsia="標楷體"/>
              </w:rPr>
              <w:t>課業困擾求助，為何不？</w:t>
            </w:r>
          </w:p>
          <w:p w:rsidR="00351318" w:rsidRDefault="00AD6D16">
            <w:pPr>
              <w:spacing w:line="0" w:lineRule="atLeast"/>
              <w:ind w:left="245" w:hanging="245"/>
              <w:rPr>
                <w:rFonts w:eastAsia="標楷體"/>
              </w:rPr>
            </w:pPr>
            <w:r>
              <w:rPr>
                <w:rFonts w:eastAsia="標楷體"/>
              </w:rPr>
              <w:t>9.</w:t>
            </w:r>
            <w:r>
              <w:rPr>
                <w:rFonts w:eastAsia="標楷體"/>
              </w:rPr>
              <w:t>課業學習困擾與輔導需求</w:t>
            </w:r>
          </w:p>
          <w:p w:rsidR="00351318" w:rsidRDefault="00AD6D16">
            <w:pPr>
              <w:spacing w:line="0" w:lineRule="atLeast"/>
              <w:ind w:left="245" w:hanging="245"/>
              <w:rPr>
                <w:rFonts w:eastAsia="標楷體"/>
              </w:rPr>
            </w:pPr>
            <w:r>
              <w:rPr>
                <w:rFonts w:eastAsia="標楷體"/>
              </w:rPr>
              <w:t>10.</w:t>
            </w:r>
            <w:r>
              <w:rPr>
                <w:rFonts w:eastAsia="標楷體"/>
              </w:rPr>
              <w:t>學習輔導是什麼，不是什麼</w:t>
            </w:r>
          </w:p>
          <w:p w:rsidR="00351318" w:rsidRDefault="00AD6D16">
            <w:pPr>
              <w:spacing w:line="0" w:lineRule="atLeast"/>
              <w:ind w:left="245" w:hanging="245"/>
              <w:rPr>
                <w:rFonts w:eastAsia="標楷體"/>
              </w:rPr>
            </w:pPr>
            <w:r>
              <w:rPr>
                <w:rFonts w:eastAsia="標楷體"/>
              </w:rPr>
              <w:t>11.</w:t>
            </w:r>
            <w:r>
              <w:rPr>
                <w:rFonts w:eastAsia="標楷體"/>
              </w:rPr>
              <w:t>誰來提供課業學習輔導</w:t>
            </w:r>
          </w:p>
          <w:p w:rsidR="00351318" w:rsidRDefault="00AD6D16">
            <w:pPr>
              <w:spacing w:line="0" w:lineRule="atLeast"/>
              <w:ind w:left="245" w:hanging="245"/>
            </w:pPr>
            <w:r>
              <w:rPr>
                <w:rFonts w:eastAsia="標楷體"/>
              </w:rPr>
              <w:t>12.</w:t>
            </w:r>
            <w:r>
              <w:rPr>
                <w:rFonts w:eastAsia="標楷體"/>
              </w:rPr>
              <w:t>學校輔導工作與學習輔導</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jc w:val="center"/>
              <w:rPr>
                <w:rFonts w:ascii="Times New Roman" w:eastAsia="標楷體" w:hAnsi="Times New Roman" w:cs="Times New Roman"/>
                <w:sz w:val="24"/>
                <w:szCs w:val="24"/>
              </w:rPr>
            </w:pPr>
            <w:r>
              <w:rPr>
                <w:rFonts w:ascii="Times New Roman" w:eastAsia="標楷體" w:hAnsi="Times New Roman" w:cs="Times New Roman"/>
                <w:sz w:val="24"/>
                <w:szCs w:val="24"/>
              </w:rPr>
              <w:t>3</w:t>
            </w:r>
          </w:p>
        </w:tc>
        <w:tc>
          <w:tcPr>
            <w:tcW w:w="1842"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51318" w:rsidRDefault="00AD6D16">
            <w:pPr>
              <w:pStyle w:val="a3"/>
              <w:widowControl w:val="0"/>
              <w:numPr>
                <w:ilvl w:val="0"/>
                <w:numId w:val="1"/>
              </w:numPr>
              <w:spacing w:line="260" w:lineRule="exact"/>
              <w:ind w:left="218" w:hanging="218"/>
              <w:rPr>
                <w:rFonts w:eastAsia="標楷體"/>
                <w:sz w:val="24"/>
                <w:szCs w:val="24"/>
              </w:rPr>
            </w:pPr>
            <w:r>
              <w:rPr>
                <w:rFonts w:eastAsia="標楷體"/>
                <w:sz w:val="24"/>
                <w:szCs w:val="24"/>
              </w:rPr>
              <w:t>本課程為線上數位課程，在開課時間內，任何時間都可觀看。</w:t>
            </w:r>
          </w:p>
          <w:p w:rsidR="00351318" w:rsidRDefault="00AD6D16">
            <w:pPr>
              <w:pStyle w:val="a3"/>
              <w:widowControl w:val="0"/>
              <w:numPr>
                <w:ilvl w:val="0"/>
                <w:numId w:val="1"/>
              </w:numPr>
              <w:spacing w:line="260" w:lineRule="exact"/>
              <w:ind w:left="218" w:hanging="218"/>
              <w:rPr>
                <w:rFonts w:eastAsia="標楷體"/>
                <w:sz w:val="24"/>
                <w:szCs w:val="24"/>
              </w:rPr>
            </w:pPr>
            <w:r>
              <w:rPr>
                <w:rFonts w:eastAsia="標楷體"/>
                <w:sz w:val="24"/>
                <w:szCs w:val="24"/>
              </w:rPr>
              <w:t>使用彰化師大雲端學院。</w:t>
            </w:r>
          </w:p>
        </w:tc>
      </w:tr>
      <w:tr w:rsidR="00351318">
        <w:tblPrEx>
          <w:tblCellMar>
            <w:top w:w="0" w:type="dxa"/>
            <w:bottom w:w="0" w:type="dxa"/>
          </w:tblCellMar>
        </w:tblPrEx>
        <w:trPr>
          <w:trHeight w:val="538"/>
        </w:trPr>
        <w:tc>
          <w:tcPr>
            <w:tcW w:w="198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rPr>
                <w:rFonts w:eastAsia="標楷體"/>
                <w:szCs w:val="24"/>
              </w:rPr>
            </w:pPr>
            <w:r>
              <w:rPr>
                <w:rFonts w:eastAsia="標楷體"/>
                <w:szCs w:val="24"/>
              </w:rPr>
              <w:t>單元</w:t>
            </w:r>
            <w:r>
              <w:rPr>
                <w:rFonts w:eastAsia="標楷體"/>
                <w:szCs w:val="24"/>
              </w:rPr>
              <w:t>2-</w:t>
            </w:r>
          </w:p>
          <w:p w:rsidR="00351318" w:rsidRDefault="00AD6D16">
            <w:pPr>
              <w:spacing w:line="260" w:lineRule="exact"/>
              <w:rPr>
                <w:rFonts w:eastAsia="標楷體"/>
                <w:szCs w:val="24"/>
              </w:rPr>
            </w:pPr>
            <w:r>
              <w:rPr>
                <w:rFonts w:eastAsia="標楷體"/>
                <w:szCs w:val="24"/>
              </w:rPr>
              <w:t>學習是學習策略實踐</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0" w:lineRule="atLeast"/>
              <w:ind w:left="245" w:hanging="245"/>
              <w:rPr>
                <w:rFonts w:eastAsia="標楷體"/>
              </w:rPr>
            </w:pPr>
            <w:r>
              <w:rPr>
                <w:rFonts w:eastAsia="標楷體"/>
              </w:rPr>
              <w:t>1.</w:t>
            </w:r>
            <w:r>
              <w:rPr>
                <w:rFonts w:eastAsia="標楷體"/>
              </w:rPr>
              <w:t>學習與學習行為</w:t>
            </w:r>
          </w:p>
          <w:p w:rsidR="00351318" w:rsidRDefault="00AD6D16">
            <w:pPr>
              <w:spacing w:line="0" w:lineRule="atLeast"/>
              <w:ind w:left="245" w:hanging="245"/>
              <w:rPr>
                <w:rFonts w:eastAsia="標楷體"/>
              </w:rPr>
            </w:pPr>
            <w:r>
              <w:rPr>
                <w:rFonts w:eastAsia="標楷體"/>
              </w:rPr>
              <w:t>2.</w:t>
            </w:r>
            <w:r>
              <w:rPr>
                <w:rFonts w:eastAsia="標楷體"/>
              </w:rPr>
              <w:t>讀書</w:t>
            </w:r>
            <w:r>
              <w:rPr>
                <w:rFonts w:eastAsia="標楷體"/>
              </w:rPr>
              <w:t>(read)</w:t>
            </w:r>
            <w:r>
              <w:rPr>
                <w:rFonts w:eastAsia="標楷體"/>
              </w:rPr>
              <w:t>或學習</w:t>
            </w:r>
            <w:r>
              <w:rPr>
                <w:rFonts w:eastAsia="標楷體"/>
              </w:rPr>
              <w:t xml:space="preserve">(study)? </w:t>
            </w:r>
          </w:p>
          <w:p w:rsidR="00351318" w:rsidRDefault="00AD6D16">
            <w:pPr>
              <w:spacing w:line="0" w:lineRule="atLeast"/>
              <w:ind w:left="245" w:hanging="245"/>
              <w:rPr>
                <w:rFonts w:eastAsia="標楷體"/>
              </w:rPr>
            </w:pPr>
            <w:r>
              <w:rPr>
                <w:rFonts w:eastAsia="標楷體"/>
              </w:rPr>
              <w:t>3.</w:t>
            </w:r>
            <w:r>
              <w:rPr>
                <w:rFonts w:eastAsia="標楷體"/>
              </w:rPr>
              <w:t>學習認知策略</w:t>
            </w:r>
          </w:p>
          <w:p w:rsidR="00351318" w:rsidRDefault="00AD6D16">
            <w:pPr>
              <w:spacing w:line="0" w:lineRule="atLeast"/>
              <w:ind w:left="245" w:hanging="245"/>
              <w:rPr>
                <w:rFonts w:eastAsia="標楷體"/>
              </w:rPr>
            </w:pPr>
            <w:r>
              <w:rPr>
                <w:rFonts w:eastAsia="標楷體"/>
              </w:rPr>
              <w:t>4.</w:t>
            </w:r>
            <w:r>
              <w:rPr>
                <w:rFonts w:eastAsia="標楷體"/>
              </w:rPr>
              <w:t>學習策略的分類與內涵</w:t>
            </w:r>
          </w:p>
          <w:p w:rsidR="00351318" w:rsidRDefault="00AD6D16">
            <w:pPr>
              <w:spacing w:line="0" w:lineRule="atLeast"/>
              <w:ind w:left="245" w:hanging="245"/>
              <w:rPr>
                <w:rFonts w:eastAsia="標楷體"/>
              </w:rPr>
            </w:pPr>
            <w:r>
              <w:rPr>
                <w:rFonts w:eastAsia="標楷體"/>
              </w:rPr>
              <w:t>5.</w:t>
            </w:r>
            <w:r>
              <w:rPr>
                <w:rFonts w:eastAsia="標楷體"/>
              </w:rPr>
              <w:t>訊息選擇與複誦策略</w:t>
            </w:r>
          </w:p>
          <w:p w:rsidR="00351318" w:rsidRDefault="00AD6D16">
            <w:pPr>
              <w:spacing w:line="0" w:lineRule="atLeast"/>
              <w:ind w:left="245" w:hanging="245"/>
              <w:rPr>
                <w:rFonts w:eastAsia="標楷體"/>
              </w:rPr>
            </w:pPr>
            <w:r>
              <w:rPr>
                <w:rFonts w:eastAsia="標楷體"/>
              </w:rPr>
              <w:t>6.</w:t>
            </w:r>
            <w:r>
              <w:rPr>
                <w:rFonts w:eastAsia="標楷體"/>
              </w:rPr>
              <w:t>訊息組織策略</w:t>
            </w:r>
          </w:p>
          <w:p w:rsidR="00351318" w:rsidRDefault="00AD6D16">
            <w:pPr>
              <w:spacing w:line="0" w:lineRule="atLeast"/>
              <w:ind w:left="245" w:hanging="245"/>
              <w:rPr>
                <w:rFonts w:eastAsia="標楷體"/>
              </w:rPr>
            </w:pPr>
            <w:r>
              <w:rPr>
                <w:rFonts w:eastAsia="標楷體"/>
              </w:rPr>
              <w:t>7.</w:t>
            </w:r>
            <w:r>
              <w:rPr>
                <w:rFonts w:eastAsia="標楷體"/>
              </w:rPr>
              <w:t>訊息融會、批判思考與應用策略</w:t>
            </w:r>
          </w:p>
          <w:p w:rsidR="00351318" w:rsidRDefault="00AD6D16">
            <w:pPr>
              <w:spacing w:line="0" w:lineRule="atLeast"/>
              <w:ind w:left="245" w:hanging="245"/>
              <w:rPr>
                <w:rFonts w:eastAsia="標楷體"/>
              </w:rPr>
            </w:pPr>
            <w:r>
              <w:rPr>
                <w:rFonts w:eastAsia="標楷體"/>
              </w:rPr>
              <w:t>8.</w:t>
            </w:r>
            <w:r>
              <w:rPr>
                <w:rFonts w:eastAsia="標楷體"/>
              </w:rPr>
              <w:t>學習監控調整策略</w:t>
            </w:r>
          </w:p>
          <w:p w:rsidR="00351318" w:rsidRDefault="00AD6D16">
            <w:pPr>
              <w:spacing w:line="0" w:lineRule="atLeast"/>
              <w:ind w:left="245" w:hanging="245"/>
              <w:rPr>
                <w:rFonts w:eastAsia="標楷體"/>
              </w:rPr>
            </w:pPr>
            <w:r>
              <w:rPr>
                <w:rFonts w:eastAsia="標楷體"/>
              </w:rPr>
              <w:t>9.</w:t>
            </w:r>
            <w:r>
              <w:rPr>
                <w:rFonts w:eastAsia="標楷體"/>
              </w:rPr>
              <w:t>環境與資源管理策略</w:t>
            </w:r>
          </w:p>
          <w:p w:rsidR="00351318" w:rsidRDefault="00AD6D16">
            <w:pPr>
              <w:spacing w:line="0" w:lineRule="atLeast"/>
              <w:ind w:left="245" w:hanging="245"/>
              <w:rPr>
                <w:rFonts w:eastAsia="標楷體"/>
              </w:rPr>
            </w:pPr>
            <w:r>
              <w:rPr>
                <w:rFonts w:eastAsia="標楷體"/>
              </w:rPr>
              <w:t>10.</w:t>
            </w:r>
            <w:r>
              <w:rPr>
                <w:rFonts w:eastAsia="標楷體"/>
              </w:rPr>
              <w:t>學習策略的有機整合</w:t>
            </w:r>
          </w:p>
          <w:p w:rsidR="00351318" w:rsidRDefault="00AD6D16">
            <w:pPr>
              <w:spacing w:line="0" w:lineRule="atLeast"/>
              <w:ind w:left="245" w:hanging="245"/>
            </w:pPr>
            <w:r>
              <w:rPr>
                <w:rFonts w:eastAsia="標楷體"/>
              </w:rPr>
              <w:t>11.</w:t>
            </w:r>
            <w:r>
              <w:rPr>
                <w:rFonts w:eastAsia="標楷體"/>
              </w:rPr>
              <w:t>學業成就來自有效的學習策略－成就模式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jc w:val="center"/>
              <w:rPr>
                <w:rFonts w:ascii="Times New Roman" w:eastAsia="標楷體" w:hAnsi="Times New Roman" w:cs="Times New Roman"/>
                <w:sz w:val="24"/>
                <w:szCs w:val="24"/>
              </w:rPr>
            </w:pPr>
            <w:r>
              <w:rPr>
                <w:rFonts w:ascii="Times New Roman" w:eastAsia="標楷體" w:hAnsi="Times New Roman" w:cs="Times New Roman"/>
                <w:sz w:val="24"/>
                <w:szCs w:val="24"/>
              </w:rPr>
              <w:t>3</w:t>
            </w:r>
          </w:p>
        </w:tc>
        <w:tc>
          <w:tcPr>
            <w:tcW w:w="184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51318" w:rsidRDefault="00351318">
            <w:pPr>
              <w:pStyle w:val="a3"/>
              <w:widowControl w:val="0"/>
              <w:numPr>
                <w:ilvl w:val="0"/>
                <w:numId w:val="2"/>
              </w:numPr>
              <w:spacing w:line="260" w:lineRule="exact"/>
              <w:ind w:left="218" w:hanging="218"/>
              <w:rPr>
                <w:rFonts w:ascii="Times New Roman" w:eastAsia="標楷體" w:hAnsi="Times New Roman" w:cs="Times New Roman"/>
              </w:rPr>
            </w:pPr>
          </w:p>
        </w:tc>
      </w:tr>
      <w:tr w:rsidR="00351318">
        <w:tblPrEx>
          <w:tblCellMar>
            <w:top w:w="0" w:type="dxa"/>
            <w:bottom w:w="0" w:type="dxa"/>
          </w:tblCellMar>
        </w:tblPrEx>
        <w:trPr>
          <w:trHeight w:val="538"/>
        </w:trPr>
        <w:tc>
          <w:tcPr>
            <w:tcW w:w="198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rPr>
                <w:rFonts w:eastAsia="標楷體"/>
                <w:szCs w:val="24"/>
              </w:rPr>
            </w:pPr>
            <w:r>
              <w:rPr>
                <w:rFonts w:eastAsia="標楷體"/>
                <w:szCs w:val="24"/>
              </w:rPr>
              <w:t>單元</w:t>
            </w:r>
            <w:r>
              <w:rPr>
                <w:rFonts w:eastAsia="標楷體"/>
                <w:szCs w:val="24"/>
              </w:rPr>
              <w:t>3-</w:t>
            </w:r>
          </w:p>
          <w:p w:rsidR="00351318" w:rsidRDefault="00AD6D16">
            <w:pPr>
              <w:spacing w:line="260" w:lineRule="exact"/>
              <w:rPr>
                <w:rFonts w:eastAsia="標楷體"/>
                <w:szCs w:val="24"/>
              </w:rPr>
            </w:pPr>
            <w:r>
              <w:rPr>
                <w:rFonts w:eastAsia="標楷體"/>
                <w:szCs w:val="24"/>
              </w:rPr>
              <w:t>快樂學習或學習快樂－學習的動力哪裡來？</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0" w:lineRule="atLeast"/>
              <w:ind w:left="245" w:hanging="245"/>
              <w:rPr>
                <w:rFonts w:eastAsia="標楷體"/>
              </w:rPr>
            </w:pPr>
            <w:r>
              <w:rPr>
                <w:rFonts w:eastAsia="標楷體"/>
              </w:rPr>
              <w:t>1.</w:t>
            </w:r>
            <w:r>
              <w:rPr>
                <w:rFonts w:eastAsia="標楷體"/>
              </w:rPr>
              <w:t>動機和動機信念</w:t>
            </w:r>
          </w:p>
          <w:p w:rsidR="00351318" w:rsidRDefault="00AD6D16">
            <w:pPr>
              <w:spacing w:line="0" w:lineRule="atLeast"/>
              <w:ind w:left="245" w:hanging="245"/>
              <w:rPr>
                <w:rFonts w:eastAsia="標楷體"/>
              </w:rPr>
            </w:pPr>
            <w:r>
              <w:rPr>
                <w:rFonts w:eastAsia="標楷體"/>
              </w:rPr>
              <w:t>2.</w:t>
            </w:r>
            <w:r>
              <w:rPr>
                <w:rFonts w:eastAsia="標楷體"/>
              </w:rPr>
              <w:t>指派、增強與制握信念</w:t>
            </w:r>
          </w:p>
          <w:p w:rsidR="00351318" w:rsidRDefault="00AD6D16">
            <w:pPr>
              <w:spacing w:line="0" w:lineRule="atLeast"/>
              <w:ind w:left="245" w:hanging="245"/>
              <w:rPr>
                <w:rFonts w:eastAsia="標楷體"/>
              </w:rPr>
            </w:pPr>
            <w:r>
              <w:rPr>
                <w:rFonts w:eastAsia="標楷體"/>
              </w:rPr>
              <w:t>3.</w:t>
            </w:r>
            <w:r>
              <w:rPr>
                <w:rFonts w:eastAsia="標楷體"/>
              </w:rPr>
              <w:t>自我效能激勵學習行為</w:t>
            </w:r>
            <w:r>
              <w:rPr>
                <w:rFonts w:eastAsia="標楷體"/>
              </w:rPr>
              <w:t xml:space="preserve"> </w:t>
            </w:r>
          </w:p>
          <w:p w:rsidR="00351318" w:rsidRDefault="00AD6D16">
            <w:pPr>
              <w:spacing w:line="0" w:lineRule="atLeast"/>
              <w:ind w:left="245" w:hanging="245"/>
              <w:rPr>
                <w:rFonts w:eastAsia="標楷體"/>
              </w:rPr>
            </w:pPr>
            <w:r>
              <w:rPr>
                <w:rFonts w:eastAsia="標楷體"/>
              </w:rPr>
              <w:t>4.</w:t>
            </w:r>
            <w:r>
              <w:rPr>
                <w:rFonts w:eastAsia="標楷體"/>
              </w:rPr>
              <w:t>情境樂趣滋長個人興趣</w:t>
            </w:r>
          </w:p>
          <w:p w:rsidR="00351318" w:rsidRDefault="00AD6D16">
            <w:pPr>
              <w:spacing w:line="0" w:lineRule="atLeast"/>
              <w:ind w:left="245" w:hanging="245"/>
              <w:rPr>
                <w:rFonts w:eastAsia="標楷體"/>
              </w:rPr>
            </w:pPr>
            <w:r>
              <w:rPr>
                <w:rFonts w:eastAsia="標楷體"/>
              </w:rPr>
              <w:t>5.</w:t>
            </w:r>
            <w:r>
              <w:rPr>
                <w:rFonts w:eastAsia="標楷體"/>
              </w:rPr>
              <w:t>由外塑到內化的動機</w:t>
            </w:r>
          </w:p>
          <w:p w:rsidR="00351318" w:rsidRDefault="00AD6D16">
            <w:pPr>
              <w:spacing w:line="0" w:lineRule="atLeast"/>
              <w:ind w:left="245" w:hanging="245"/>
              <w:rPr>
                <w:rFonts w:eastAsia="標楷體"/>
              </w:rPr>
            </w:pPr>
            <w:r>
              <w:rPr>
                <w:rFonts w:eastAsia="標楷體"/>
              </w:rPr>
              <w:t>6.</w:t>
            </w:r>
            <w:r>
              <w:rPr>
                <w:rFonts w:eastAsia="標楷體"/>
              </w:rPr>
              <w:t>精熟</w:t>
            </w:r>
            <w:r>
              <w:rPr>
                <w:rFonts w:eastAsia="標楷體"/>
              </w:rPr>
              <w:t>/</w:t>
            </w:r>
            <w:r>
              <w:rPr>
                <w:rFonts w:eastAsia="標楷體"/>
              </w:rPr>
              <w:t>表現導向目標牽引向前</w:t>
            </w:r>
          </w:p>
          <w:p w:rsidR="00351318" w:rsidRDefault="00AD6D16">
            <w:pPr>
              <w:spacing w:line="0" w:lineRule="atLeast"/>
              <w:ind w:left="245" w:hanging="245"/>
              <w:rPr>
                <w:rFonts w:eastAsia="標楷體"/>
              </w:rPr>
            </w:pPr>
            <w:r>
              <w:rPr>
                <w:rFonts w:eastAsia="標楷體"/>
              </w:rPr>
              <w:t>7.</w:t>
            </w:r>
            <w:r>
              <w:rPr>
                <w:rFonts w:eastAsia="標楷體"/>
              </w:rPr>
              <w:t>對成敗的歸因影響後續努力的動力</w:t>
            </w:r>
          </w:p>
          <w:p w:rsidR="00351318" w:rsidRDefault="00AD6D16">
            <w:pPr>
              <w:spacing w:line="0" w:lineRule="atLeast"/>
              <w:ind w:left="245" w:hanging="245"/>
              <w:rPr>
                <w:rFonts w:eastAsia="標楷體"/>
              </w:rPr>
            </w:pPr>
            <w:r>
              <w:rPr>
                <w:rFonts w:eastAsia="標楷體"/>
              </w:rPr>
              <w:t>8.</w:t>
            </w:r>
            <w:r>
              <w:rPr>
                <w:rFonts w:eastAsia="標楷體"/>
              </w:rPr>
              <w:t>課業任務價值的四個要素</w:t>
            </w:r>
          </w:p>
          <w:p w:rsidR="00351318" w:rsidRDefault="00AD6D16">
            <w:pPr>
              <w:spacing w:line="0" w:lineRule="atLeast"/>
              <w:ind w:left="245" w:hanging="245"/>
              <w:rPr>
                <w:rFonts w:eastAsia="標楷體"/>
              </w:rPr>
            </w:pPr>
            <w:r>
              <w:rPr>
                <w:rFonts w:eastAsia="標楷體"/>
              </w:rPr>
              <w:t>9.</w:t>
            </w:r>
            <w:r>
              <w:rPr>
                <w:rFonts w:eastAsia="標楷體"/>
              </w:rPr>
              <w:t>對於自我價值，努力是把雙刃的刀</w:t>
            </w:r>
          </w:p>
          <w:p w:rsidR="00351318" w:rsidRDefault="00AD6D16">
            <w:pPr>
              <w:spacing w:line="0" w:lineRule="atLeast"/>
              <w:ind w:left="245" w:hanging="245"/>
              <w:rPr>
                <w:rFonts w:eastAsia="標楷體"/>
              </w:rPr>
            </w:pPr>
            <w:r>
              <w:rPr>
                <w:rFonts w:eastAsia="標楷體"/>
              </w:rPr>
              <w:t>10.</w:t>
            </w:r>
            <w:r>
              <w:rPr>
                <w:rFonts w:eastAsia="標楷體"/>
              </w:rPr>
              <w:t>無助是信念所衍生的感受和反應</w:t>
            </w:r>
          </w:p>
          <w:p w:rsidR="00351318" w:rsidRDefault="00AD6D16">
            <w:pPr>
              <w:spacing w:line="0" w:lineRule="atLeast"/>
              <w:ind w:left="245" w:hanging="245"/>
            </w:pPr>
            <w:r>
              <w:rPr>
                <w:rFonts w:eastAsia="標楷體"/>
              </w:rPr>
              <w:t>11.</w:t>
            </w:r>
            <w:r>
              <w:rPr>
                <w:rFonts w:eastAsia="標楷體"/>
              </w:rPr>
              <w:t>認真學習而得到快樂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jc w:val="center"/>
              <w:rPr>
                <w:rFonts w:ascii="Times New Roman" w:eastAsia="標楷體" w:hAnsi="Times New Roman" w:cs="Times New Roman"/>
                <w:sz w:val="24"/>
                <w:szCs w:val="24"/>
              </w:rPr>
            </w:pPr>
            <w:r>
              <w:rPr>
                <w:rFonts w:ascii="Times New Roman" w:eastAsia="標楷體" w:hAnsi="Times New Roman" w:cs="Times New Roman"/>
                <w:sz w:val="24"/>
                <w:szCs w:val="24"/>
              </w:rPr>
              <w:t>3</w:t>
            </w:r>
          </w:p>
        </w:tc>
        <w:tc>
          <w:tcPr>
            <w:tcW w:w="184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51318" w:rsidRDefault="00351318">
            <w:pPr>
              <w:pStyle w:val="a3"/>
              <w:widowControl w:val="0"/>
              <w:numPr>
                <w:ilvl w:val="0"/>
                <w:numId w:val="2"/>
              </w:numPr>
              <w:spacing w:line="260" w:lineRule="exact"/>
              <w:ind w:left="218" w:hanging="218"/>
              <w:rPr>
                <w:rFonts w:ascii="Times New Roman" w:eastAsia="標楷體" w:hAnsi="Times New Roman" w:cs="Times New Roman"/>
              </w:rPr>
            </w:pPr>
          </w:p>
        </w:tc>
      </w:tr>
      <w:tr w:rsidR="00351318">
        <w:tblPrEx>
          <w:tblCellMar>
            <w:top w:w="0" w:type="dxa"/>
            <w:bottom w:w="0" w:type="dxa"/>
          </w:tblCellMar>
        </w:tblPrEx>
        <w:trPr>
          <w:trHeight w:val="538"/>
        </w:trPr>
        <w:tc>
          <w:tcPr>
            <w:tcW w:w="198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rPr>
                <w:rFonts w:eastAsia="標楷體"/>
                <w:szCs w:val="24"/>
              </w:rPr>
            </w:pPr>
            <w:r>
              <w:rPr>
                <w:rFonts w:eastAsia="標楷體"/>
                <w:szCs w:val="24"/>
              </w:rPr>
              <w:t>單元</w:t>
            </w:r>
            <w:r>
              <w:rPr>
                <w:rFonts w:eastAsia="標楷體"/>
                <w:szCs w:val="24"/>
              </w:rPr>
              <w:t>4-</w:t>
            </w:r>
          </w:p>
          <w:p w:rsidR="00351318" w:rsidRDefault="00AD6D16">
            <w:pPr>
              <w:spacing w:line="260" w:lineRule="exact"/>
              <w:rPr>
                <w:rFonts w:eastAsia="標楷體"/>
                <w:szCs w:val="24"/>
              </w:rPr>
            </w:pPr>
            <w:r>
              <w:rPr>
                <w:rFonts w:eastAsia="標楷體"/>
                <w:szCs w:val="24"/>
              </w:rPr>
              <w:t>不能忽略的動力－自我調整增能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1318" w:rsidRDefault="00AD6D16">
            <w:pPr>
              <w:spacing w:line="0" w:lineRule="atLeast"/>
              <w:ind w:left="245" w:hanging="245"/>
              <w:rPr>
                <w:rFonts w:eastAsia="標楷體"/>
              </w:rPr>
            </w:pPr>
            <w:r>
              <w:rPr>
                <w:rFonts w:eastAsia="標楷體"/>
              </w:rPr>
              <w:t>1.</w:t>
            </w:r>
            <w:r>
              <w:rPr>
                <w:rFonts w:eastAsia="標楷體"/>
              </w:rPr>
              <w:t>真正的個別差異</w:t>
            </w:r>
          </w:p>
          <w:p w:rsidR="00351318" w:rsidRDefault="00AD6D16">
            <w:pPr>
              <w:spacing w:line="0" w:lineRule="atLeast"/>
              <w:ind w:left="245" w:hanging="245"/>
              <w:rPr>
                <w:rFonts w:eastAsia="標楷體"/>
              </w:rPr>
            </w:pPr>
            <w:r>
              <w:rPr>
                <w:rFonts w:eastAsia="標楷體"/>
              </w:rPr>
              <w:t>2.</w:t>
            </w:r>
            <w:r>
              <w:rPr>
                <w:rFonts w:eastAsia="標楷體"/>
              </w:rPr>
              <w:t>學習者的條件</w:t>
            </w:r>
          </w:p>
          <w:p w:rsidR="00351318" w:rsidRDefault="00AD6D16">
            <w:pPr>
              <w:spacing w:line="0" w:lineRule="atLeast"/>
              <w:ind w:left="245" w:hanging="245"/>
              <w:rPr>
                <w:rFonts w:eastAsia="標楷體"/>
              </w:rPr>
            </w:pPr>
            <w:r>
              <w:rPr>
                <w:rFonts w:eastAsia="標楷體"/>
              </w:rPr>
              <w:t>3.</w:t>
            </w:r>
            <w:r>
              <w:rPr>
                <w:rFonts w:eastAsia="標楷體"/>
              </w:rPr>
              <w:t>自我調整真的嗎？</w:t>
            </w:r>
          </w:p>
          <w:p w:rsidR="00351318" w:rsidRDefault="00AD6D16">
            <w:pPr>
              <w:spacing w:line="0" w:lineRule="atLeast"/>
              <w:ind w:left="245" w:hanging="245"/>
              <w:rPr>
                <w:rFonts w:eastAsia="標楷體"/>
              </w:rPr>
            </w:pPr>
            <w:r>
              <w:rPr>
                <w:rFonts w:eastAsia="標楷體"/>
              </w:rPr>
              <w:t>4.</w:t>
            </w:r>
            <w:r>
              <w:rPr>
                <w:rFonts w:eastAsia="標楷體"/>
              </w:rPr>
              <w:t>三個循環相續的時相－初、入、覆</w:t>
            </w:r>
          </w:p>
          <w:p w:rsidR="00351318" w:rsidRDefault="00AD6D16">
            <w:pPr>
              <w:spacing w:line="0" w:lineRule="atLeast"/>
              <w:ind w:left="245" w:hanging="245"/>
              <w:rPr>
                <w:rFonts w:eastAsia="標楷體"/>
              </w:rPr>
            </w:pPr>
            <w:r>
              <w:rPr>
                <w:rFonts w:eastAsia="標楷體"/>
              </w:rPr>
              <w:t>5.</w:t>
            </w:r>
            <w:r>
              <w:rPr>
                <w:rFonts w:eastAsia="標楷體"/>
              </w:rPr>
              <w:t>初的任務分析和自我動機信念</w:t>
            </w:r>
          </w:p>
          <w:p w:rsidR="00351318" w:rsidRDefault="00AD6D16">
            <w:pPr>
              <w:spacing w:line="0" w:lineRule="atLeast"/>
              <w:ind w:left="245" w:hanging="245"/>
              <w:rPr>
                <w:rFonts w:eastAsia="標楷體"/>
              </w:rPr>
            </w:pPr>
            <w:r>
              <w:rPr>
                <w:rFonts w:eastAsia="標楷體"/>
              </w:rPr>
              <w:t>6.</w:t>
            </w:r>
            <w:r>
              <w:rPr>
                <w:rFonts w:eastAsia="標楷體"/>
              </w:rPr>
              <w:t>入的表現和監察</w:t>
            </w:r>
          </w:p>
          <w:p w:rsidR="00351318" w:rsidRDefault="00AD6D16">
            <w:pPr>
              <w:spacing w:line="0" w:lineRule="atLeast"/>
              <w:ind w:left="245" w:hanging="245"/>
              <w:rPr>
                <w:rFonts w:eastAsia="標楷體"/>
              </w:rPr>
            </w:pPr>
            <w:r>
              <w:rPr>
                <w:rFonts w:eastAsia="標楷體"/>
              </w:rPr>
              <w:t>7.</w:t>
            </w:r>
            <w:r>
              <w:rPr>
                <w:rFonts w:eastAsia="標楷體"/>
              </w:rPr>
              <w:t>覆的自評和回應</w:t>
            </w:r>
          </w:p>
          <w:p w:rsidR="00351318" w:rsidRDefault="00AD6D16">
            <w:pPr>
              <w:spacing w:line="0" w:lineRule="atLeast"/>
              <w:ind w:left="245" w:hanging="245"/>
              <w:rPr>
                <w:rFonts w:eastAsia="標楷體"/>
              </w:rPr>
            </w:pPr>
            <w:r>
              <w:rPr>
                <w:rFonts w:eastAsia="標楷體"/>
              </w:rPr>
              <w:t>8.</w:t>
            </w:r>
            <w:r>
              <w:rPr>
                <w:rFonts w:eastAsia="標楷體"/>
              </w:rPr>
              <w:t>自我調整學習的限制</w:t>
            </w:r>
          </w:p>
          <w:p w:rsidR="00351318" w:rsidRDefault="00AD6D16">
            <w:pPr>
              <w:spacing w:line="0" w:lineRule="atLeast"/>
              <w:ind w:left="245" w:hanging="245"/>
              <w:rPr>
                <w:rFonts w:eastAsia="標楷體"/>
              </w:rPr>
            </w:pPr>
            <w:r>
              <w:rPr>
                <w:rFonts w:eastAsia="標楷體"/>
              </w:rPr>
              <w:t>9.</w:t>
            </w:r>
            <w:r>
              <w:rPr>
                <w:rFonts w:eastAsia="標楷體"/>
              </w:rPr>
              <w:t>天上的禮物？自我調整的學習者</w:t>
            </w:r>
          </w:p>
          <w:p w:rsidR="00351318" w:rsidRDefault="00AD6D16">
            <w:pPr>
              <w:spacing w:line="0" w:lineRule="atLeast"/>
              <w:ind w:left="245" w:hanging="245"/>
              <w:rPr>
                <w:rFonts w:eastAsia="標楷體"/>
              </w:rPr>
            </w:pPr>
            <w:r>
              <w:rPr>
                <w:rFonts w:eastAsia="標楷體"/>
              </w:rPr>
              <w:t>10.</w:t>
            </w:r>
            <w:r>
              <w:rPr>
                <w:rFonts w:eastAsia="標楷體"/>
              </w:rPr>
              <w:t>自我調整學習可以教導嗎？</w:t>
            </w:r>
          </w:p>
          <w:p w:rsidR="00351318" w:rsidRDefault="00AD6D16">
            <w:pPr>
              <w:spacing w:line="0" w:lineRule="atLeast"/>
              <w:ind w:left="245" w:hanging="245"/>
              <w:rPr>
                <w:rFonts w:eastAsia="標楷體"/>
              </w:rPr>
            </w:pPr>
            <w:r>
              <w:rPr>
                <w:rFonts w:eastAsia="標楷體"/>
              </w:rPr>
              <w:t>11.</w:t>
            </w:r>
            <w:r>
              <w:rPr>
                <w:rFonts w:eastAsia="標楷體"/>
              </w:rPr>
              <w:t>自我調整與課業學習困擾</w:t>
            </w:r>
          </w:p>
          <w:p w:rsidR="00351318" w:rsidRDefault="00AD6D16">
            <w:pPr>
              <w:spacing w:line="0" w:lineRule="atLeast"/>
              <w:ind w:left="245" w:hanging="245"/>
            </w:pPr>
            <w:r>
              <w:rPr>
                <w:rFonts w:eastAsia="標楷體"/>
              </w:rPr>
              <w:t>12.</w:t>
            </w:r>
            <w:r>
              <w:rPr>
                <w:rFonts w:eastAsia="標楷體"/>
              </w:rPr>
              <w:t>學習不是學生身上做些什麼，而是學生做些什麼</w:t>
            </w:r>
            <w:r>
              <w:rPr>
                <w:rFonts w:eastAsia="標楷體"/>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jc w:val="center"/>
              <w:rPr>
                <w:rFonts w:ascii="Times New Roman" w:eastAsia="標楷體" w:hAnsi="Times New Roman" w:cs="Times New Roman"/>
                <w:sz w:val="24"/>
                <w:szCs w:val="24"/>
              </w:rPr>
            </w:pPr>
            <w:r>
              <w:rPr>
                <w:rFonts w:ascii="Times New Roman" w:eastAsia="標楷體" w:hAnsi="Times New Roman" w:cs="Times New Roman"/>
                <w:sz w:val="24"/>
                <w:szCs w:val="24"/>
              </w:rPr>
              <w:t>2</w:t>
            </w:r>
          </w:p>
        </w:tc>
        <w:tc>
          <w:tcPr>
            <w:tcW w:w="184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51318" w:rsidRDefault="00351318">
            <w:pPr>
              <w:pStyle w:val="a3"/>
              <w:widowControl w:val="0"/>
              <w:numPr>
                <w:ilvl w:val="0"/>
                <w:numId w:val="2"/>
              </w:numPr>
              <w:spacing w:line="260" w:lineRule="exact"/>
              <w:ind w:left="218" w:hanging="218"/>
              <w:rPr>
                <w:rFonts w:ascii="Times New Roman" w:eastAsia="標楷體" w:hAnsi="Times New Roman" w:cs="Times New Roman"/>
              </w:rPr>
            </w:pPr>
          </w:p>
        </w:tc>
      </w:tr>
      <w:tr w:rsidR="00351318">
        <w:tblPrEx>
          <w:tblCellMar>
            <w:top w:w="0" w:type="dxa"/>
            <w:bottom w:w="0" w:type="dxa"/>
          </w:tblCellMar>
        </w:tblPrEx>
        <w:trPr>
          <w:trHeight w:val="538"/>
        </w:trPr>
        <w:tc>
          <w:tcPr>
            <w:tcW w:w="198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rPr>
                <w:rFonts w:eastAsia="標楷體"/>
                <w:szCs w:val="24"/>
              </w:rPr>
            </w:pPr>
            <w:r>
              <w:rPr>
                <w:rFonts w:eastAsia="標楷體"/>
                <w:szCs w:val="24"/>
              </w:rPr>
              <w:t>單元</w:t>
            </w:r>
            <w:r>
              <w:rPr>
                <w:rFonts w:eastAsia="標楷體"/>
                <w:szCs w:val="24"/>
              </w:rPr>
              <w:t>5-</w:t>
            </w:r>
          </w:p>
          <w:p w:rsidR="00351318" w:rsidRDefault="00AD6D16">
            <w:pPr>
              <w:spacing w:line="260" w:lineRule="exact"/>
              <w:rPr>
                <w:rFonts w:eastAsia="標楷體"/>
                <w:szCs w:val="24"/>
              </w:rPr>
            </w:pPr>
            <w:r>
              <w:rPr>
                <w:rFonts w:eastAsia="標楷體"/>
                <w:szCs w:val="24"/>
              </w:rPr>
              <w:t>回到學生－學習策略綜合評估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1318" w:rsidRDefault="00AD6D16">
            <w:pPr>
              <w:spacing w:line="0" w:lineRule="atLeast"/>
              <w:ind w:left="245" w:hanging="245"/>
              <w:rPr>
                <w:rFonts w:eastAsia="標楷體"/>
              </w:rPr>
            </w:pPr>
            <w:r>
              <w:rPr>
                <w:rFonts w:eastAsia="標楷體"/>
              </w:rPr>
              <w:t>1.</w:t>
            </w:r>
            <w:r>
              <w:rPr>
                <w:rFonts w:eastAsia="標楷體"/>
              </w:rPr>
              <w:t>多面向評估低成就學生的學習困擾</w:t>
            </w:r>
          </w:p>
          <w:p w:rsidR="00351318" w:rsidRDefault="00AD6D16">
            <w:pPr>
              <w:spacing w:line="0" w:lineRule="atLeast"/>
              <w:ind w:left="245" w:hanging="245"/>
              <w:rPr>
                <w:rFonts w:eastAsia="標楷體"/>
              </w:rPr>
            </w:pPr>
            <w:r>
              <w:rPr>
                <w:rFonts w:eastAsia="標楷體"/>
              </w:rPr>
              <w:t>2.</w:t>
            </w:r>
            <w:r>
              <w:rPr>
                <w:rFonts w:eastAsia="標楷體"/>
              </w:rPr>
              <w:t>課業學習策略評估</w:t>
            </w:r>
          </w:p>
          <w:p w:rsidR="00351318" w:rsidRDefault="00AD6D16">
            <w:pPr>
              <w:spacing w:line="0" w:lineRule="atLeast"/>
              <w:ind w:left="245" w:hanging="245"/>
              <w:rPr>
                <w:rFonts w:eastAsia="標楷體"/>
              </w:rPr>
            </w:pPr>
            <w:r>
              <w:rPr>
                <w:rFonts w:eastAsia="標楷體"/>
              </w:rPr>
              <w:t>3.</w:t>
            </w:r>
            <w:r>
              <w:rPr>
                <w:rFonts w:eastAsia="標楷體"/>
              </w:rPr>
              <w:t>課業學習動力評估</w:t>
            </w:r>
          </w:p>
          <w:p w:rsidR="00351318" w:rsidRDefault="00AD6D16">
            <w:pPr>
              <w:spacing w:line="0" w:lineRule="atLeast"/>
              <w:ind w:left="245" w:hanging="245"/>
              <w:rPr>
                <w:rFonts w:eastAsia="標楷體"/>
              </w:rPr>
            </w:pPr>
            <w:r>
              <w:rPr>
                <w:rFonts w:eastAsia="標楷體"/>
              </w:rPr>
              <w:t>4.</w:t>
            </w:r>
            <w:r>
              <w:rPr>
                <w:rFonts w:eastAsia="標楷體"/>
              </w:rPr>
              <w:t>課業學習個人因素評估</w:t>
            </w:r>
          </w:p>
          <w:p w:rsidR="00351318" w:rsidRDefault="00AD6D16">
            <w:pPr>
              <w:spacing w:line="0" w:lineRule="atLeast"/>
              <w:ind w:left="175" w:hanging="175"/>
              <w:rPr>
                <w:rFonts w:eastAsia="標楷體"/>
              </w:rPr>
            </w:pPr>
            <w:r>
              <w:rPr>
                <w:rFonts w:eastAsia="標楷體"/>
              </w:rPr>
              <w:t>5.</w:t>
            </w:r>
            <w:r>
              <w:rPr>
                <w:rFonts w:eastAsia="標楷體"/>
              </w:rPr>
              <w:t>課業學習評估的原則－尊重既有的有效作為</w:t>
            </w:r>
          </w:p>
          <w:p w:rsidR="00351318" w:rsidRDefault="00AD6D16">
            <w:pPr>
              <w:spacing w:line="0" w:lineRule="atLeast"/>
              <w:ind w:left="245" w:hanging="245"/>
              <w:rPr>
                <w:rFonts w:eastAsia="標楷體"/>
              </w:rPr>
            </w:pPr>
            <w:r>
              <w:rPr>
                <w:rFonts w:eastAsia="標楷體"/>
              </w:rPr>
              <w:t>6.</w:t>
            </w:r>
            <w:r>
              <w:rPr>
                <w:rFonts w:eastAsia="標楷體"/>
              </w:rPr>
              <w:t>課業學習評估的原則－具象、微分析</w:t>
            </w:r>
          </w:p>
          <w:p w:rsidR="00351318" w:rsidRDefault="00AD6D16">
            <w:pPr>
              <w:spacing w:line="0" w:lineRule="atLeast"/>
              <w:ind w:left="245" w:hanging="245"/>
              <w:rPr>
                <w:rFonts w:eastAsia="標楷體"/>
              </w:rPr>
            </w:pPr>
            <w:r>
              <w:rPr>
                <w:rFonts w:eastAsia="標楷體"/>
              </w:rPr>
              <w:t>7.</w:t>
            </w:r>
            <w:r>
              <w:rPr>
                <w:rFonts w:eastAsia="標楷體"/>
              </w:rPr>
              <w:t>課業學習評估的原則－可工作的評估焦點</w:t>
            </w:r>
          </w:p>
          <w:p w:rsidR="00351318" w:rsidRDefault="00AD6D16">
            <w:pPr>
              <w:spacing w:line="0" w:lineRule="atLeast"/>
              <w:ind w:left="245" w:hanging="245"/>
            </w:pPr>
            <w:r>
              <w:rPr>
                <w:rFonts w:eastAsia="標楷體"/>
              </w:rPr>
              <w:t>8.</w:t>
            </w:r>
            <w:r>
              <w:rPr>
                <w:rFonts w:eastAsia="標楷體"/>
              </w:rPr>
              <w:t>學習與學習策略評估的工具使用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jc w:val="center"/>
              <w:rPr>
                <w:rFonts w:ascii="Times New Roman" w:eastAsia="標楷體" w:hAnsi="Times New Roman" w:cs="Times New Roman"/>
                <w:sz w:val="24"/>
                <w:szCs w:val="24"/>
              </w:rPr>
            </w:pPr>
            <w:r>
              <w:rPr>
                <w:rFonts w:ascii="Times New Roman" w:eastAsia="標楷體" w:hAnsi="Times New Roman" w:cs="Times New Roman"/>
                <w:sz w:val="24"/>
                <w:szCs w:val="24"/>
              </w:rPr>
              <w:t>2</w:t>
            </w:r>
          </w:p>
        </w:tc>
        <w:tc>
          <w:tcPr>
            <w:tcW w:w="184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51318" w:rsidRDefault="00351318">
            <w:pPr>
              <w:pStyle w:val="a3"/>
              <w:widowControl w:val="0"/>
              <w:numPr>
                <w:ilvl w:val="0"/>
                <w:numId w:val="2"/>
              </w:numPr>
              <w:spacing w:line="260" w:lineRule="exact"/>
              <w:ind w:left="218" w:hanging="218"/>
              <w:rPr>
                <w:rFonts w:ascii="Times New Roman" w:eastAsia="標楷體" w:hAnsi="Times New Roman" w:cs="Times New Roman"/>
              </w:rPr>
            </w:pPr>
          </w:p>
        </w:tc>
      </w:tr>
      <w:tr w:rsidR="00351318">
        <w:tblPrEx>
          <w:tblCellMar>
            <w:top w:w="0" w:type="dxa"/>
            <w:bottom w:w="0" w:type="dxa"/>
          </w:tblCellMar>
        </w:tblPrEx>
        <w:trPr>
          <w:trHeight w:val="538"/>
        </w:trPr>
        <w:tc>
          <w:tcPr>
            <w:tcW w:w="198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rPr>
                <w:rFonts w:eastAsia="標楷體"/>
                <w:szCs w:val="24"/>
              </w:rPr>
            </w:pPr>
            <w:r>
              <w:rPr>
                <w:rFonts w:eastAsia="標楷體"/>
                <w:szCs w:val="24"/>
              </w:rPr>
              <w:t>單元</w:t>
            </w:r>
            <w:r>
              <w:rPr>
                <w:rFonts w:eastAsia="標楷體"/>
                <w:szCs w:val="24"/>
              </w:rPr>
              <w:t>6-</w:t>
            </w:r>
          </w:p>
          <w:p w:rsidR="00351318" w:rsidRDefault="00AD6D16">
            <w:pPr>
              <w:spacing w:line="260" w:lineRule="exact"/>
            </w:pPr>
            <w:r>
              <w:rPr>
                <w:rFonts w:eastAsia="標楷體"/>
                <w:szCs w:val="24"/>
              </w:rPr>
              <w:t>做得到的補救與輔導方案</w:t>
            </w:r>
          </w:p>
        </w:tc>
        <w:tc>
          <w:tcPr>
            <w:tcW w:w="439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0" w:lineRule="atLeast"/>
              <w:ind w:left="245" w:hanging="245"/>
              <w:rPr>
                <w:rFonts w:eastAsia="標楷體"/>
              </w:rPr>
            </w:pPr>
            <w:r>
              <w:rPr>
                <w:rFonts w:eastAsia="標楷體"/>
              </w:rPr>
              <w:t>1.</w:t>
            </w:r>
            <w:r>
              <w:rPr>
                <w:rFonts w:eastAsia="標楷體"/>
              </w:rPr>
              <w:t>策略內容學習模式的特色與啟發</w:t>
            </w:r>
          </w:p>
          <w:p w:rsidR="00351318" w:rsidRDefault="00AD6D16">
            <w:pPr>
              <w:spacing w:line="0" w:lineRule="atLeast"/>
              <w:ind w:left="245" w:hanging="245"/>
              <w:rPr>
                <w:rFonts w:eastAsia="標楷體"/>
              </w:rPr>
            </w:pPr>
            <w:r>
              <w:rPr>
                <w:rFonts w:eastAsia="標楷體"/>
              </w:rPr>
              <w:t>2.</w:t>
            </w:r>
            <w:r>
              <w:rPr>
                <w:rFonts w:eastAsia="標楷體"/>
              </w:rPr>
              <w:t>自我調整增能方案的特色與啟示</w:t>
            </w:r>
          </w:p>
          <w:p w:rsidR="00351318" w:rsidRDefault="00AD6D16">
            <w:pPr>
              <w:spacing w:line="0" w:lineRule="atLeast"/>
              <w:ind w:left="245" w:hanging="245"/>
              <w:rPr>
                <w:rFonts w:eastAsia="標楷體"/>
              </w:rPr>
            </w:pPr>
            <w:r>
              <w:rPr>
                <w:rFonts w:eastAsia="標楷體"/>
              </w:rPr>
              <w:t>3.</w:t>
            </w:r>
            <w:r>
              <w:rPr>
                <w:rFonts w:eastAsia="標楷體"/>
              </w:rPr>
              <w:t>自我調整學習輔導模式</w:t>
            </w:r>
          </w:p>
          <w:p w:rsidR="00351318" w:rsidRDefault="00AD6D16">
            <w:pPr>
              <w:spacing w:line="0" w:lineRule="atLeast"/>
              <w:ind w:left="245" w:hanging="245"/>
              <w:rPr>
                <w:rFonts w:eastAsia="標楷體"/>
              </w:rPr>
            </w:pPr>
            <w:r>
              <w:rPr>
                <w:rFonts w:eastAsia="標楷體"/>
              </w:rPr>
              <w:t>4.</w:t>
            </w:r>
            <w:r>
              <w:rPr>
                <w:rFonts w:eastAsia="標楷體"/>
              </w:rPr>
              <w:t>諮商合作的促進</w:t>
            </w:r>
            <w:r>
              <w:rPr>
                <w:rFonts w:eastAsia="標楷體"/>
              </w:rPr>
              <w:t>-</w:t>
            </w:r>
            <w:r>
              <w:rPr>
                <w:rFonts w:eastAsia="標楷體"/>
              </w:rPr>
              <w:t>可處理視框與承諾</w:t>
            </w:r>
          </w:p>
          <w:p w:rsidR="00351318" w:rsidRDefault="00AD6D16">
            <w:pPr>
              <w:spacing w:line="0" w:lineRule="atLeast"/>
              <w:ind w:left="245" w:hanging="245"/>
              <w:rPr>
                <w:rFonts w:eastAsia="標楷體"/>
              </w:rPr>
            </w:pPr>
            <w:r>
              <w:rPr>
                <w:rFonts w:eastAsia="標楷體"/>
              </w:rPr>
              <w:t>5.</w:t>
            </w:r>
            <w:r>
              <w:rPr>
                <w:rFonts w:eastAsia="標楷體"/>
              </w:rPr>
              <w:t>改善課業困擾的學習策略演練</w:t>
            </w:r>
          </w:p>
          <w:p w:rsidR="00351318" w:rsidRDefault="00AD6D16">
            <w:pPr>
              <w:spacing w:line="0" w:lineRule="atLeast"/>
              <w:ind w:left="245" w:hanging="245"/>
              <w:rPr>
                <w:rFonts w:eastAsia="標楷體"/>
              </w:rPr>
            </w:pPr>
            <w:r>
              <w:rPr>
                <w:rFonts w:eastAsia="標楷體"/>
              </w:rPr>
              <w:t>6.</w:t>
            </w:r>
            <w:r>
              <w:rPr>
                <w:rFonts w:eastAsia="標楷體"/>
              </w:rPr>
              <w:t>提升學習策略的自我效能</w:t>
            </w:r>
          </w:p>
          <w:p w:rsidR="00351318" w:rsidRDefault="00AD6D16">
            <w:pPr>
              <w:spacing w:line="260" w:lineRule="exact"/>
              <w:ind w:left="387" w:hanging="389"/>
            </w:pPr>
            <w:r>
              <w:rPr>
                <w:rFonts w:eastAsia="標楷體"/>
              </w:rPr>
              <w:t>7.</w:t>
            </w:r>
            <w:r>
              <w:rPr>
                <w:rFonts w:eastAsia="標楷體"/>
              </w:rPr>
              <w:t>瞭解學習輔導抗拒的處理</w:t>
            </w:r>
          </w:p>
        </w:tc>
        <w:tc>
          <w:tcPr>
            <w:tcW w:w="70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260" w:lineRule="exact"/>
              <w:jc w:val="center"/>
              <w:rPr>
                <w:rFonts w:ascii="Times New Roman" w:eastAsia="標楷體" w:hAnsi="Times New Roman" w:cs="Times New Roman"/>
                <w:sz w:val="24"/>
                <w:szCs w:val="24"/>
              </w:rPr>
            </w:pPr>
            <w:r>
              <w:rPr>
                <w:rFonts w:ascii="Times New Roman" w:eastAsia="標楷體" w:hAnsi="Times New Roman" w:cs="Times New Roman"/>
                <w:sz w:val="24"/>
                <w:szCs w:val="24"/>
              </w:rPr>
              <w:t>2</w:t>
            </w:r>
          </w:p>
        </w:tc>
        <w:tc>
          <w:tcPr>
            <w:tcW w:w="1842"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51318" w:rsidRDefault="00351318">
            <w:pPr>
              <w:pStyle w:val="a3"/>
              <w:widowControl w:val="0"/>
              <w:numPr>
                <w:ilvl w:val="0"/>
                <w:numId w:val="3"/>
              </w:numPr>
              <w:spacing w:line="260" w:lineRule="exact"/>
              <w:ind w:left="218" w:hanging="218"/>
              <w:rPr>
                <w:rFonts w:ascii="Times New Roman" w:eastAsia="標楷體" w:hAnsi="Times New Roman" w:cs="Times New Roman"/>
              </w:rPr>
            </w:pPr>
          </w:p>
        </w:tc>
      </w:tr>
    </w:tbl>
    <w:p w:rsidR="00351318" w:rsidRDefault="00AD6D16">
      <w:pPr>
        <w:spacing w:before="180" w:line="0" w:lineRule="atLeast"/>
        <w:ind w:left="706" w:firstLine="3"/>
        <w:rPr>
          <w:rFonts w:ascii="標楷體" w:eastAsia="標楷體" w:hAnsi="標楷體" w:cs="Times New Roman"/>
          <w:b/>
          <w:color w:val="auto"/>
          <w:sz w:val="24"/>
          <w:szCs w:val="24"/>
          <w:shd w:val="clear" w:color="auto" w:fill="FFFFFF"/>
        </w:rPr>
      </w:pPr>
      <w:r>
        <w:rPr>
          <w:rFonts w:ascii="標楷體" w:eastAsia="標楷體" w:hAnsi="標楷體" w:cs="Times New Roman"/>
          <w:b/>
          <w:color w:val="auto"/>
          <w:sz w:val="24"/>
          <w:szCs w:val="24"/>
          <w:shd w:val="clear" w:color="auto" w:fill="FFFFFF"/>
        </w:rPr>
        <w:t>師資介紹</w:t>
      </w:r>
    </w:p>
    <w:tbl>
      <w:tblPr>
        <w:tblW w:w="8922" w:type="dxa"/>
        <w:tblInd w:w="706" w:type="dxa"/>
        <w:tblCellMar>
          <w:left w:w="10" w:type="dxa"/>
          <w:right w:w="10" w:type="dxa"/>
        </w:tblCellMar>
        <w:tblLook w:val="0000" w:firstRow="0" w:lastRow="0" w:firstColumn="0" w:lastColumn="0" w:noHBand="0" w:noVBand="0"/>
      </w:tblPr>
      <w:tblGrid>
        <w:gridCol w:w="1274"/>
        <w:gridCol w:w="1559"/>
        <w:gridCol w:w="1701"/>
        <w:gridCol w:w="4388"/>
      </w:tblGrid>
      <w:tr w:rsidR="00351318">
        <w:tblPrEx>
          <w:tblCellMar>
            <w:top w:w="0" w:type="dxa"/>
            <w:bottom w:w="0" w:type="dxa"/>
          </w:tblCellMar>
        </w:tblPrEx>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0" w:lineRule="atLeast"/>
              <w:jc w:val="center"/>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授課教師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0" w:lineRule="atLeast"/>
              <w:jc w:val="center"/>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學歷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0" w:lineRule="atLeast"/>
              <w:jc w:val="center"/>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專長</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0" w:lineRule="atLeast"/>
              <w:jc w:val="center"/>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經歷</w:t>
            </w:r>
          </w:p>
        </w:tc>
      </w:tr>
      <w:tr w:rsidR="00351318">
        <w:tblPrEx>
          <w:tblCellMar>
            <w:top w:w="0" w:type="dxa"/>
            <w:bottom w:w="0" w:type="dxa"/>
          </w:tblCellMar>
        </w:tblPrEx>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0" w:lineRule="atLeast"/>
              <w:jc w:val="center"/>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林清文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spacing w:line="0" w:lineRule="atLeast"/>
              <w:rPr>
                <w:rFonts w:ascii="標楷體" w:eastAsia="標楷體" w:hAnsi="標楷體"/>
                <w:sz w:val="24"/>
                <w:szCs w:val="24"/>
              </w:rPr>
            </w:pPr>
            <w:r>
              <w:rPr>
                <w:rFonts w:ascii="標楷體" w:eastAsia="標楷體" w:hAnsi="標楷體"/>
                <w:sz w:val="24"/>
                <w:szCs w:val="24"/>
              </w:rPr>
              <w:t>國立彰化師範大學</w:t>
            </w:r>
          </w:p>
          <w:p w:rsidR="00351318" w:rsidRDefault="00351318">
            <w:pPr>
              <w:spacing w:line="0" w:lineRule="atLeast"/>
              <w:rPr>
                <w:rFonts w:ascii="標楷體" w:eastAsia="標楷體" w:hAnsi="標楷體"/>
                <w:sz w:val="24"/>
                <w:szCs w:val="24"/>
              </w:rPr>
            </w:pPr>
          </w:p>
          <w:p w:rsidR="00351318" w:rsidRDefault="00AD6D16">
            <w:pPr>
              <w:spacing w:line="0" w:lineRule="atLeast"/>
            </w:pPr>
            <w:r>
              <w:rPr>
                <w:rFonts w:ascii="標楷體" w:eastAsia="標楷體" w:hAnsi="標楷體"/>
                <w:sz w:val="24"/>
                <w:szCs w:val="24"/>
              </w:rPr>
              <w:t>輔導與諮商學系博士</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pStyle w:val="a3"/>
              <w:numPr>
                <w:ilvl w:val="0"/>
                <w:numId w:val="4"/>
              </w:numPr>
              <w:spacing w:line="0" w:lineRule="atLeast"/>
              <w:ind w:left="176" w:hanging="197"/>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諮商教育與督導</w:t>
            </w:r>
          </w:p>
          <w:p w:rsidR="00351318" w:rsidRDefault="00AD6D16">
            <w:pPr>
              <w:pStyle w:val="a3"/>
              <w:numPr>
                <w:ilvl w:val="0"/>
                <w:numId w:val="4"/>
              </w:numPr>
              <w:spacing w:line="0" w:lineRule="atLeast"/>
              <w:ind w:left="176" w:hanging="197"/>
            </w:pPr>
            <w:r>
              <w:rPr>
                <w:rFonts w:ascii="標楷體" w:eastAsia="標楷體" w:hAnsi="標楷體"/>
                <w:sz w:val="24"/>
                <w:szCs w:val="24"/>
              </w:rPr>
              <w:t>心理與教育統計</w:t>
            </w:r>
          </w:p>
          <w:p w:rsidR="00351318" w:rsidRDefault="00AD6D16">
            <w:pPr>
              <w:pStyle w:val="a3"/>
              <w:numPr>
                <w:ilvl w:val="0"/>
                <w:numId w:val="4"/>
              </w:numPr>
              <w:spacing w:line="0" w:lineRule="atLeast"/>
              <w:ind w:left="176" w:hanging="197"/>
            </w:pPr>
            <w:r>
              <w:rPr>
                <w:rFonts w:ascii="標楷體" w:eastAsia="標楷體" w:hAnsi="標楷體"/>
                <w:sz w:val="24"/>
                <w:szCs w:val="24"/>
              </w:rPr>
              <w:t>學習諮商與輔導</w:t>
            </w:r>
          </w:p>
          <w:p w:rsidR="00351318" w:rsidRDefault="00AD6D16">
            <w:pPr>
              <w:pStyle w:val="a3"/>
              <w:numPr>
                <w:ilvl w:val="0"/>
                <w:numId w:val="4"/>
              </w:numPr>
              <w:spacing w:line="0" w:lineRule="atLeast"/>
              <w:ind w:left="176" w:hanging="197"/>
            </w:pPr>
            <w:r>
              <w:rPr>
                <w:rFonts w:ascii="標楷體" w:eastAsia="標楷體" w:hAnsi="標楷體"/>
                <w:sz w:val="24"/>
                <w:szCs w:val="24"/>
              </w:rPr>
              <w:t>學校輔導</w:t>
            </w:r>
          </w:p>
          <w:p w:rsidR="00351318" w:rsidRDefault="00AD6D16">
            <w:pPr>
              <w:pStyle w:val="a3"/>
              <w:numPr>
                <w:ilvl w:val="0"/>
                <w:numId w:val="4"/>
              </w:numPr>
              <w:spacing w:line="0" w:lineRule="atLeast"/>
              <w:ind w:left="176" w:hanging="197"/>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生涯輔導與諮商</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1318" w:rsidRDefault="00AD6D16">
            <w:pPr>
              <w:pStyle w:val="a3"/>
              <w:numPr>
                <w:ilvl w:val="0"/>
                <w:numId w:val="4"/>
              </w:numPr>
              <w:spacing w:line="0" w:lineRule="atLeast"/>
              <w:ind w:left="176" w:hanging="197"/>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國立彰化師範大學輔導與諮商學系專任教授</w:t>
            </w:r>
          </w:p>
          <w:p w:rsidR="00351318" w:rsidRDefault="00AD6D16">
            <w:pPr>
              <w:pStyle w:val="a3"/>
              <w:numPr>
                <w:ilvl w:val="0"/>
                <w:numId w:val="4"/>
              </w:numPr>
              <w:spacing w:line="0" w:lineRule="atLeast"/>
              <w:ind w:left="176" w:hanging="197"/>
            </w:pPr>
            <w:r>
              <w:rPr>
                <w:rFonts w:ascii="標楷體" w:eastAsia="標楷體" w:hAnsi="標楷體" w:cs="Times New Roman"/>
                <w:color w:val="auto"/>
                <w:sz w:val="24"/>
                <w:szCs w:val="24"/>
                <w:shd w:val="clear" w:color="auto" w:fill="FFFFFF"/>
              </w:rPr>
              <w:t>前</w:t>
            </w:r>
            <w:r>
              <w:rPr>
                <w:rFonts w:ascii="標楷體" w:eastAsia="標楷體" w:hAnsi="標楷體" w:cs="標楷體"/>
                <w:sz w:val="24"/>
                <w:szCs w:val="24"/>
              </w:rPr>
              <w:t>國立彰化師大師資培育中心主任</w:t>
            </w:r>
          </w:p>
          <w:p w:rsidR="00351318" w:rsidRDefault="00AD6D16">
            <w:pPr>
              <w:pStyle w:val="a3"/>
              <w:numPr>
                <w:ilvl w:val="0"/>
                <w:numId w:val="4"/>
              </w:numPr>
              <w:spacing w:line="0" w:lineRule="atLeast"/>
              <w:ind w:left="176" w:hanging="197"/>
            </w:pPr>
            <w:r>
              <w:rPr>
                <w:rFonts w:ascii="標楷體" w:eastAsia="標楷體" w:hAnsi="標楷體" w:cs="Times New Roman"/>
                <w:color w:val="auto"/>
                <w:sz w:val="24"/>
                <w:szCs w:val="24"/>
                <w:shd w:val="clear" w:color="auto" w:fill="FFFFFF"/>
              </w:rPr>
              <w:t>前</w:t>
            </w:r>
            <w:r>
              <w:rPr>
                <w:rFonts w:ascii="標楷體" w:eastAsia="標楷體" w:hAnsi="標楷體" w:cs="標楷體"/>
                <w:sz w:val="24"/>
                <w:szCs w:val="24"/>
              </w:rPr>
              <w:t>國立彰化師大學生事務長</w:t>
            </w:r>
          </w:p>
          <w:p w:rsidR="00351318" w:rsidRDefault="00AD6D16">
            <w:pPr>
              <w:pStyle w:val="a3"/>
              <w:numPr>
                <w:ilvl w:val="0"/>
                <w:numId w:val="4"/>
              </w:numPr>
              <w:spacing w:line="0" w:lineRule="atLeast"/>
              <w:ind w:left="176" w:hanging="197"/>
            </w:pPr>
            <w:r>
              <w:rPr>
                <w:rFonts w:ascii="標楷體" w:eastAsia="標楷體" w:hAnsi="標楷體" w:cs="標楷體"/>
                <w:sz w:val="24"/>
                <w:szCs w:val="24"/>
              </w:rPr>
              <w:t>前國立彰化師範大學心理諮商與輔導中心主任</w:t>
            </w:r>
          </w:p>
          <w:p w:rsidR="00351318" w:rsidRDefault="00AD6D16">
            <w:pPr>
              <w:pStyle w:val="a3"/>
              <w:numPr>
                <w:ilvl w:val="0"/>
                <w:numId w:val="4"/>
              </w:numPr>
              <w:spacing w:line="0" w:lineRule="atLeast"/>
              <w:ind w:left="176" w:hanging="197"/>
            </w:pPr>
            <w:r>
              <w:rPr>
                <w:rFonts w:ascii="標楷體" w:eastAsia="標楷體" w:hAnsi="標楷體" w:cs="標楷體"/>
                <w:sz w:val="24"/>
                <w:szCs w:val="24"/>
              </w:rPr>
              <w:t>前國立彰化師範大學社區心理諮商及潛能發展中心主任</w:t>
            </w:r>
          </w:p>
        </w:tc>
      </w:tr>
    </w:tbl>
    <w:p w:rsidR="00351318" w:rsidRDefault="00351318">
      <w:pPr>
        <w:spacing w:before="180" w:line="0" w:lineRule="atLeast"/>
        <w:ind w:left="706" w:firstLine="3"/>
        <w:rPr>
          <w:rFonts w:ascii="標楷體" w:eastAsia="標楷體" w:hAnsi="標楷體" w:cs="Times New Roman"/>
          <w:b/>
          <w:color w:val="auto"/>
          <w:sz w:val="2"/>
          <w:szCs w:val="2"/>
          <w:shd w:val="clear" w:color="auto" w:fill="FFFFFF"/>
        </w:rPr>
      </w:pPr>
    </w:p>
    <w:sectPr w:rsidR="00351318">
      <w:headerReference w:type="default" r:id="rId10"/>
      <w:footerReference w:type="default" r:id="rId11"/>
      <w:pgSz w:w="11906" w:h="16838"/>
      <w:pgMar w:top="567" w:right="1134" w:bottom="567" w:left="1134" w:header="0" w:footer="0" w:gutter="0"/>
      <w:cols w:space="720"/>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D16" w:rsidRDefault="00AD6D16">
      <w:pPr>
        <w:spacing w:line="240" w:lineRule="auto"/>
      </w:pPr>
      <w:r>
        <w:separator/>
      </w:r>
    </w:p>
  </w:endnote>
  <w:endnote w:type="continuationSeparator" w:id="0">
    <w:p w:rsidR="00AD6D16" w:rsidRDefault="00AD6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F4" w:rsidRDefault="00AD6D16">
    <w:pPr>
      <w:pStyle w:val="a6"/>
      <w:ind w:right="800"/>
    </w:pPr>
    <w:r>
      <w:rPr>
        <w:rFonts w:ascii="標楷體" w:eastAsia="標楷體" w:hAnsi="標楷體"/>
        <w:noProof/>
      </w:rPr>
      <w:drawing>
        <wp:inline distT="0" distB="0" distL="0" distR="0">
          <wp:extent cx="6185916" cy="561313"/>
          <wp:effectExtent l="0" t="0" r="5334" b="0"/>
          <wp:docPr id="3" name="Picture 2" descr="D:\進教研陳純恩\文宣設計\TTQS\桌牌底圖.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3649" b="5431"/>
                  <a:stretch>
                    <a:fillRect/>
                  </a:stretch>
                </pic:blipFill>
                <pic:spPr>
                  <a:xfrm>
                    <a:off x="0" y="0"/>
                    <a:ext cx="6185916" cy="561313"/>
                  </a:xfrm>
                  <a:prstGeom prst="rect">
                    <a:avLst/>
                  </a:prstGeom>
                  <a:noFill/>
                  <a:ln>
                    <a:noFill/>
                    <a:prstDash/>
                  </a:ln>
                </pic:spPr>
              </pic:pic>
            </a:graphicData>
          </a:graphic>
        </wp:inline>
      </w:drawing>
    </w:r>
  </w:p>
  <w:p w:rsidR="00A44BF4" w:rsidRDefault="00AD6D16">
    <w:pPr>
      <w:pStyle w:val="a6"/>
      <w:ind w:right="8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D16" w:rsidRDefault="00AD6D16">
      <w:pPr>
        <w:spacing w:line="240" w:lineRule="auto"/>
      </w:pPr>
      <w:r>
        <w:separator/>
      </w:r>
    </w:p>
  </w:footnote>
  <w:footnote w:type="continuationSeparator" w:id="0">
    <w:p w:rsidR="00AD6D16" w:rsidRDefault="00AD6D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BF4" w:rsidRDefault="00AD6D16">
    <w:pPr>
      <w:pStyle w:val="a4"/>
    </w:pPr>
  </w:p>
  <w:p w:rsidR="00A44BF4" w:rsidRDefault="00AD6D16">
    <w:pPr>
      <w:pStyle w:val="a4"/>
    </w:pPr>
    <w:r>
      <w:rPr>
        <w:rFonts w:ascii="標楷體" w:eastAsia="標楷體" w:hAnsi="標楷體"/>
        <w:b/>
        <w:noProof/>
        <w:sz w:val="40"/>
        <w:szCs w:val="40"/>
      </w:rPr>
      <mc:AlternateContent>
        <mc:Choice Requires="wps">
          <w:drawing>
            <wp:anchor distT="0" distB="0" distL="114300" distR="114300" simplePos="0" relativeHeight="251659264" behindDoc="0" locked="0" layoutInCell="1" allowOverlap="1">
              <wp:simplePos x="0" y="0"/>
              <wp:positionH relativeFrom="margin">
                <wp:posOffset>7315</wp:posOffset>
              </wp:positionH>
              <wp:positionV relativeFrom="paragraph">
                <wp:posOffset>918185</wp:posOffset>
              </wp:positionV>
              <wp:extent cx="1242697" cy="196852"/>
              <wp:effectExtent l="0" t="0" r="14603" b="12698"/>
              <wp:wrapNone/>
              <wp:docPr id="1" name="文字方塊 2"/>
              <wp:cNvGraphicFramePr/>
              <a:graphic xmlns:a="http://schemas.openxmlformats.org/drawingml/2006/main">
                <a:graphicData uri="http://schemas.microsoft.com/office/word/2010/wordprocessingShape">
                  <wps:wsp>
                    <wps:cNvSpPr txBox="1"/>
                    <wps:spPr>
                      <a:xfrm>
                        <a:off x="0" y="0"/>
                        <a:ext cx="1242697" cy="196852"/>
                      </a:xfrm>
                      <a:prstGeom prst="rect">
                        <a:avLst/>
                      </a:prstGeom>
                      <a:solidFill>
                        <a:srgbClr val="FFFFFF"/>
                      </a:solidFill>
                      <a:ln w="9528" cmpd="dbl">
                        <a:solidFill>
                          <a:srgbClr val="000000"/>
                        </a:solidFill>
                        <a:prstDash val="solid"/>
                      </a:ln>
                    </wps:spPr>
                    <wps:txbx>
                      <w:txbxContent>
                        <w:p w:rsidR="00A44BF4" w:rsidRDefault="00AD6D16">
                          <w:pPr>
                            <w:rPr>
                              <w:b/>
                            </w:rPr>
                          </w:pPr>
                          <w:r>
                            <w:rPr>
                              <w:b/>
                            </w:rPr>
                            <w:t>推廣教育</w:t>
                          </w:r>
                          <w:r>
                            <w:rPr>
                              <w:b/>
                            </w:rPr>
                            <w:t>-</w:t>
                          </w:r>
                          <w:r>
                            <w:rPr>
                              <w:b/>
                            </w:rPr>
                            <w:t>非學分班</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6pt;margin-top:72.3pt;width:97.85pt;height:15.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" strokeweight=".26467mm">
              <v:stroke linestyle="thinThin"/>
              <v:textbox inset="0,0,0,0">
                <w:txbxContent>
                  <w:p w:rsidR="00A44BF4" w:rsidRDefault="00AD6D16">
                    <w:pPr>
                      <w:rPr>
                        <w:b/>
                      </w:rPr>
                    </w:pPr>
                    <w:r>
                      <w:rPr>
                        <w:b/>
                      </w:rPr>
                      <w:t>推廣教育</w:t>
                    </w:r>
                    <w:r>
                      <w:rPr>
                        <w:b/>
                      </w:rPr>
                      <w:t>-</w:t>
                    </w:r>
                    <w:r>
                      <w:rPr>
                        <w:b/>
                      </w:rPr>
                      <w:t>非學分班</w:t>
                    </w:r>
                  </w:p>
                </w:txbxContent>
              </v:textbox>
              <w10:wrap anchorx="margin"/>
            </v:shape>
          </w:pict>
        </mc:Fallback>
      </mc:AlternateContent>
    </w:r>
    <w:r>
      <w:rPr>
        <w:noProof/>
      </w:rPr>
      <w:drawing>
        <wp:inline distT="0" distB="0" distL="0" distR="0">
          <wp:extent cx="6120134" cy="917691"/>
          <wp:effectExtent l="0" t="0" r="0" b="0"/>
          <wp:docPr id="2" name="圖片 5" descr="D:\進教研陳純恩\文宣設計\學校風景\banner003_banner00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20134" cy="91769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556CB"/>
    <w:multiLevelType w:val="multilevel"/>
    <w:tmpl w:val="0722E4A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21445D37"/>
    <w:multiLevelType w:val="multilevel"/>
    <w:tmpl w:val="A7EC89D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58963C8"/>
    <w:multiLevelType w:val="multilevel"/>
    <w:tmpl w:val="8FE6F9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A380CFD"/>
    <w:multiLevelType w:val="multilevel"/>
    <w:tmpl w:val="D40E99D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351318"/>
    <w:rsid w:val="00066CC4"/>
    <w:rsid w:val="00351318"/>
    <w:rsid w:val="00AD6D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61A694-7C76-4CA3-8C7B-CD178ECB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276" w:lineRule="auto"/>
    </w:pPr>
    <w:rPr>
      <w:rFonts w:ascii="Arial" w:hAnsi="Arial" w:cs="Arial"/>
      <w:color w:val="000000"/>
      <w:kern w:val="0"/>
      <w:sz w:val="22"/>
    </w:rPr>
  </w:style>
  <w:style w:type="paragraph" w:styleId="1">
    <w:name w:val="heading 1"/>
    <w:basedOn w:val="a"/>
    <w:next w:val="a"/>
    <w:pPr>
      <w:keepNext/>
      <w:spacing w:before="180" w:after="180" w:line="720" w:lineRule="auto"/>
      <w:outlineLvl w:val="0"/>
    </w:pPr>
    <w:rPr>
      <w:rFonts w:ascii="Cambria" w:hAnsi="Cambria" w:cs="Times New Roman"/>
      <w:b/>
      <w:bCs/>
      <w:kern w:val="3"/>
      <w:sz w:val="52"/>
      <w:szCs w:val="52"/>
    </w:rPr>
  </w:style>
  <w:style w:type="paragraph" w:styleId="2">
    <w:name w:val="heading 2"/>
    <w:basedOn w:val="a"/>
    <w:pPr>
      <w:spacing w:before="100" w:after="100"/>
      <w:outlineLvl w:val="1"/>
    </w:pPr>
    <w:rPr>
      <w:rFonts w:ascii="新細明體" w:hAnsi="新細明體" w:cs="新細明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000FF"/>
      <w:u w:val="single"/>
    </w:rPr>
  </w:style>
  <w:style w:type="character" w:styleId="a9">
    <w:name w:val="FollowedHyperlink"/>
    <w:basedOn w:val="a0"/>
    <w:rPr>
      <w:color w:val="800080"/>
      <w:u w:val="single"/>
    </w:rPr>
  </w:style>
  <w:style w:type="paragraph" w:customStyle="1" w:styleId="font0">
    <w:name w:val="font0"/>
    <w:basedOn w:val="a"/>
    <w:pPr>
      <w:spacing w:before="100" w:after="100"/>
    </w:pPr>
    <w:rPr>
      <w:rFonts w:ascii="新細明體" w:hAnsi="新細明體" w:cs="Times New Roman"/>
      <w:szCs w:val="24"/>
    </w:rPr>
  </w:style>
  <w:style w:type="paragraph" w:styleId="aa">
    <w:name w:val="Balloon Text"/>
    <w:basedOn w:val="a"/>
    <w:rPr>
      <w:rFonts w:ascii="Cambria" w:hAnsi="Cambria" w:cs="Times New Roman"/>
      <w:sz w:val="18"/>
      <w:szCs w:val="18"/>
    </w:rPr>
  </w:style>
  <w:style w:type="character" w:customStyle="1" w:styleId="ab">
    <w:name w:val="註解方塊文字 字元"/>
    <w:basedOn w:val="a0"/>
    <w:rPr>
      <w:rFonts w:ascii="Cambria" w:eastAsia="新細明體" w:hAnsi="Cambria" w:cs="Times New Roman"/>
      <w:sz w:val="18"/>
      <w:szCs w:val="18"/>
    </w:rPr>
  </w:style>
  <w:style w:type="character" w:customStyle="1" w:styleId="10">
    <w:name w:val="標題 1 字元"/>
    <w:basedOn w:val="a0"/>
    <w:rPr>
      <w:rFonts w:ascii="Cambria" w:eastAsia="新細明體" w:hAnsi="Cambria" w:cs="Times New Roman"/>
      <w:b/>
      <w:bCs/>
      <w:kern w:val="3"/>
      <w:sz w:val="52"/>
      <w:szCs w:val="52"/>
    </w:rPr>
  </w:style>
  <w:style w:type="paragraph" w:customStyle="1" w:styleId="ac">
    <w:name w:val="附表一"/>
    <w:basedOn w:val="a"/>
    <w:autoRedefine/>
    <w:pPr>
      <w:snapToGrid w:val="0"/>
      <w:spacing w:line="480" w:lineRule="exact"/>
      <w:ind w:left="1985" w:hanging="1277"/>
    </w:pPr>
    <w:rPr>
      <w:rFonts w:ascii="標楷體" w:eastAsia="標楷體" w:hAnsi="標楷體" w:cs="Times New Roman"/>
      <w:sz w:val="28"/>
      <w:szCs w:val="28"/>
    </w:rPr>
  </w:style>
  <w:style w:type="paragraph" w:styleId="ad">
    <w:name w:val="annotation text"/>
    <w:basedOn w:val="a"/>
    <w:rPr>
      <w:rFonts w:ascii="Times New Roman" w:hAnsi="Times New Roman" w:cs="Times New Roman"/>
      <w:szCs w:val="20"/>
    </w:rPr>
  </w:style>
  <w:style w:type="character" w:customStyle="1" w:styleId="ae">
    <w:name w:val="註解文字 字元"/>
    <w:basedOn w:val="a0"/>
    <w:rPr>
      <w:rFonts w:ascii="Times New Roman" w:eastAsia="新細明體" w:hAnsi="Times New Roman" w:cs="Times New Roman"/>
      <w:szCs w:val="20"/>
    </w:rPr>
  </w:style>
  <w:style w:type="character" w:customStyle="1" w:styleId="apple-converted-space">
    <w:name w:val="apple-converted-space"/>
    <w:basedOn w:val="a0"/>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character" w:customStyle="1" w:styleId="HTML0">
    <w:name w:val="HTML 預設格式 字元"/>
    <w:basedOn w:val="a0"/>
    <w:rPr>
      <w:rFonts w:ascii="細明體" w:eastAsia="細明體" w:hAnsi="細明體" w:cs="細明體"/>
      <w:kern w:val="0"/>
      <w:szCs w:val="24"/>
    </w:rPr>
  </w:style>
  <w:style w:type="character" w:styleId="af">
    <w:name w:val="Strong"/>
    <w:basedOn w:val="a0"/>
    <w:rPr>
      <w:b/>
      <w:bCs/>
    </w:rPr>
  </w:style>
  <w:style w:type="character" w:styleId="af0">
    <w:name w:val="Emphasis"/>
    <w:basedOn w:val="a0"/>
    <w:rPr>
      <w:i/>
      <w:iCs/>
    </w:rPr>
  </w:style>
  <w:style w:type="character" w:customStyle="1" w:styleId="20">
    <w:name w:val="標題 2 字元"/>
    <w:basedOn w:val="a0"/>
    <w:rPr>
      <w:rFonts w:ascii="新細明體" w:eastAsia="新細明體" w:hAnsi="新細明體" w:cs="新細明體"/>
      <w:b/>
      <w:bCs/>
      <w:kern w:val="0"/>
      <w:sz w:val="36"/>
      <w:szCs w:val="36"/>
    </w:rPr>
  </w:style>
  <w:style w:type="character" w:customStyle="1" w:styleId="apple-style-span">
    <w:name w:val="apple-style-span"/>
    <w:basedOn w:val="a0"/>
  </w:style>
  <w:style w:type="character" w:customStyle="1" w:styleId="af1">
    <w:name w:val="未解析的提及項目"/>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orms.gle/riHFtBiNerEiBntG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yujui@gm.ncue.edu.t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師大</dc:creator>
  <cp:lastModifiedBy>user</cp:lastModifiedBy>
  <cp:revision>2</cp:revision>
  <cp:lastPrinted>2019-01-18T00:24:00Z</cp:lastPrinted>
  <dcterms:created xsi:type="dcterms:W3CDTF">2021-03-25T05:50:00Z</dcterms:created>
  <dcterms:modified xsi:type="dcterms:W3CDTF">2021-03-25T05:50:00Z</dcterms:modified>
</cp:coreProperties>
</file>